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宋体"/>
          <w:b/>
          <w:bCs/>
          <w:lang w:val="en-US" w:eastAsia="zh-CN"/>
        </w:rPr>
      </w:pPr>
      <w:bookmarkStart w:id="0" w:name="_Toc13701"/>
      <w:bookmarkStart w:id="1" w:name="_Toc22389"/>
      <w:r>
        <w:rPr>
          <w:rFonts w:hint="eastAsia"/>
          <w:b/>
          <w:bCs/>
        </w:rPr>
        <w:t>附</w:t>
      </w:r>
      <w:bookmarkEnd w:id="0"/>
      <w:bookmarkEnd w:id="1"/>
      <w:r>
        <w:rPr>
          <w:rFonts w:hint="eastAsia"/>
          <w:b/>
          <w:bCs/>
          <w:lang w:val="en-US" w:eastAsia="zh-CN"/>
        </w:rPr>
        <w:t>件1</w:t>
      </w:r>
    </w:p>
    <w:p>
      <w:pPr>
        <w:snapToGrid w:val="0"/>
        <w:spacing w:line="360" w:lineRule="auto"/>
        <w:jc w:val="center"/>
        <w:rPr>
          <w:rFonts w:eastAsia="黑体"/>
        </w:rPr>
      </w:pPr>
    </w:p>
    <w:p>
      <w:pPr>
        <w:snapToGrid w:val="0"/>
        <w:spacing w:line="360" w:lineRule="auto"/>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360" w:lineRule="auto"/>
      </w:pPr>
    </w:p>
    <w:tbl>
      <w:tblPr>
        <w:tblStyle w:val="7"/>
        <w:tblW w:w="7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6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449" w:type="dxa"/>
            <w:vAlign w:val="center"/>
          </w:tcPr>
          <w:p>
            <w:pPr>
              <w:keepNext w:val="0"/>
              <w:keepLines w:val="0"/>
              <w:suppressLineNumbers w:val="0"/>
              <w:snapToGrid w:val="0"/>
              <w:spacing w:before="0" w:beforeAutospacing="0" w:after="0" w:afterAutospacing="0" w:line="360" w:lineRule="auto"/>
              <w:ind w:left="0" w:right="0"/>
              <w:jc w:val="center"/>
              <w:rPr>
                <w:rFonts w:hint="eastAsia" w:eastAsia="宋体"/>
                <w:lang w:val="en-US" w:eastAsia="zh-CN"/>
              </w:rPr>
            </w:pPr>
            <w:r>
              <w:rPr>
                <w:rFonts w:hint="eastAsia"/>
                <w:lang w:val="en-US" w:eastAsia="zh-CN"/>
              </w:rPr>
              <w:t>合同包</w:t>
            </w:r>
          </w:p>
        </w:tc>
        <w:tc>
          <w:tcPr>
            <w:tcW w:w="6405" w:type="dxa"/>
            <w:vAlign w:val="center"/>
          </w:tcPr>
          <w:p>
            <w:pPr>
              <w:keepNext w:val="0"/>
              <w:keepLines w:val="0"/>
              <w:suppressLineNumbers w:val="0"/>
              <w:snapToGrid w:val="0"/>
              <w:spacing w:before="0" w:beforeAutospacing="0" w:after="0" w:afterAutospacing="0" w:line="360" w:lineRule="auto"/>
              <w:ind w:left="0" w:right="0"/>
              <w:jc w:val="center"/>
              <w:rPr>
                <w:rFonts w:hint="default"/>
              </w:rPr>
            </w:pPr>
            <w:r>
              <w:rPr>
                <w:rFonts w:hint="default"/>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4" w:hRule="atLeast"/>
          <w:jc w:val="center"/>
        </w:trPr>
        <w:tc>
          <w:tcPr>
            <w:tcW w:w="1449" w:type="dxa"/>
            <w:vAlign w:val="center"/>
          </w:tcPr>
          <w:p>
            <w:pPr>
              <w:keepNext w:val="0"/>
              <w:keepLines w:val="0"/>
              <w:widowControl/>
              <w:suppressLineNumbers w:val="0"/>
              <w:spacing w:before="0" w:beforeAutospacing="0" w:after="0" w:afterAutospacing="0" w:line="360" w:lineRule="auto"/>
              <w:ind w:left="0" w:right="0"/>
              <w:jc w:val="center"/>
              <w:rPr>
                <w:rFonts w:hint="default" w:ascii="Times New Roman" w:hAnsi="Times New Roman" w:eastAsia="宋体" w:cs="Times New Roman"/>
                <w:b w:val="0"/>
                <w:bCs w:val="0"/>
                <w:color w:val="auto"/>
                <w:lang w:val="en-US" w:eastAsia="zh-CN"/>
              </w:rPr>
            </w:pPr>
            <w:r>
              <w:rPr>
                <w:rFonts w:hint="eastAsia" w:cs="Times New Roman"/>
                <w:b w:val="0"/>
                <w:bCs w:val="0"/>
                <w:color w:val="auto"/>
                <w:lang w:val="en-US" w:eastAsia="zh-CN"/>
              </w:rPr>
              <w:t>所有合同包</w:t>
            </w:r>
          </w:p>
        </w:tc>
        <w:tc>
          <w:tcPr>
            <w:tcW w:w="6405" w:type="dxa"/>
            <w:vAlign w:val="center"/>
          </w:tcPr>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同时具备：</w:t>
            </w:r>
          </w:p>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1、独立企业法人资格；</w:t>
            </w:r>
          </w:p>
          <w:p>
            <w:pPr>
              <w:keepNext w:val="0"/>
              <w:keepLines w:val="0"/>
              <w:widowControl/>
              <w:suppressLineNumbers w:val="0"/>
              <w:spacing w:before="0" w:beforeAutospacing="0" w:after="0" w:afterAutospacing="0" w:line="480" w:lineRule="exact"/>
              <w:ind w:left="0" w:right="0"/>
              <w:jc w:val="left"/>
              <w:rPr>
                <w:rFonts w:hint="default" w:ascii="Times New Roman" w:hAnsi="Times New Roman" w:cs="Times New Roman"/>
                <w:color w:val="auto"/>
                <w:kern w:val="0"/>
                <w:sz w:val="24"/>
                <w:szCs w:val="24"/>
                <w:lang w:bidi="ar"/>
              </w:rPr>
            </w:pPr>
            <w:r>
              <w:rPr>
                <w:rFonts w:hint="default" w:ascii="Times New Roman" w:hAnsi="Times New Roman" w:cs="Times New Roman"/>
                <w:color w:val="auto"/>
                <w:kern w:val="0"/>
                <w:sz w:val="24"/>
                <w:szCs w:val="24"/>
                <w:lang w:bidi="ar"/>
              </w:rPr>
              <w:t>2、为所采购</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制造厂商或采购</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制造厂商的授权经销商/代理商(提供进口</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的应为该车辆进口商或该</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进口商的授权经销商/代理商) ；</w:t>
            </w:r>
          </w:p>
          <w:p>
            <w:pPr>
              <w:keepNext w:val="0"/>
              <w:keepLines w:val="0"/>
              <w:widowControl/>
              <w:suppressLineNumbers w:val="0"/>
              <w:spacing w:before="0" w:beforeAutospacing="0" w:after="0" w:afterAutospacing="0" w:line="480" w:lineRule="exact"/>
              <w:ind w:left="0" w:right="0"/>
              <w:jc w:val="left"/>
              <w:rPr>
                <w:rFonts w:hint="default"/>
                <w:color w:val="auto"/>
                <w:kern w:val="0"/>
                <w:lang w:bidi="ar"/>
              </w:rPr>
            </w:pPr>
            <w:r>
              <w:rPr>
                <w:rFonts w:hint="default" w:ascii="Times New Roman" w:hAnsi="Times New Roman" w:cs="Times New Roman"/>
                <w:color w:val="auto"/>
                <w:kern w:val="0"/>
                <w:sz w:val="24"/>
                <w:szCs w:val="24"/>
                <w:lang w:bidi="ar"/>
              </w:rPr>
              <w:t>3、如</w:t>
            </w:r>
            <w:r>
              <w:rPr>
                <w:rFonts w:hint="eastAsia" w:cs="Times New Roman"/>
                <w:color w:val="auto"/>
                <w:kern w:val="0"/>
                <w:sz w:val="24"/>
                <w:szCs w:val="24"/>
                <w:lang w:eastAsia="zh-CN" w:bidi="ar"/>
              </w:rPr>
              <w:t>申请人</w:t>
            </w:r>
            <w:r>
              <w:rPr>
                <w:rFonts w:hint="default" w:ascii="Times New Roman" w:hAnsi="Times New Roman" w:cs="Times New Roman"/>
                <w:color w:val="auto"/>
                <w:kern w:val="0"/>
                <w:sz w:val="24"/>
                <w:szCs w:val="24"/>
                <w:lang w:bidi="ar"/>
              </w:rPr>
              <w:t>为授权经销商/代理商应提供制造厂商出具的</w:t>
            </w:r>
            <w:r>
              <w:rPr>
                <w:rFonts w:hint="eastAsia" w:ascii="Times New Roman" w:hAnsi="Times New Roman" w:eastAsia="宋体" w:cs="Times New Roman"/>
                <w:color w:val="auto"/>
                <w:kern w:val="0"/>
                <w:sz w:val="24"/>
                <w:szCs w:val="24"/>
                <w:lang w:val="en-US" w:eastAsia="zh-CN" w:bidi="ar"/>
              </w:rPr>
              <w:t>设备</w:t>
            </w:r>
            <w:r>
              <w:rPr>
                <w:rFonts w:hint="default" w:ascii="Times New Roman" w:hAnsi="Times New Roman" w:cs="Times New Roman"/>
                <w:color w:val="auto"/>
                <w:kern w:val="0"/>
                <w:sz w:val="24"/>
                <w:szCs w:val="24"/>
                <w:lang w:bidi="ar"/>
              </w:rPr>
              <w:t>品牌经销商授权书。</w:t>
            </w: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widowControl/>
              <w:suppressLineNumbers w:val="0"/>
              <w:spacing w:before="0" w:beforeAutospacing="0" w:after="0" w:afterAutospacing="0" w:line="360" w:lineRule="auto"/>
              <w:ind w:left="0" w:right="0"/>
              <w:rPr>
                <w:rFonts w:hint="default"/>
              </w:rPr>
            </w:pP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360" w:lineRule="auto"/>
      </w:pPr>
    </w:p>
    <w:tbl>
      <w:tblPr>
        <w:tblStyle w:val="7"/>
        <w:tblW w:w="7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862" w:type="dxa"/>
            <w:vAlign w:val="center"/>
          </w:tcPr>
          <w:p>
            <w:pPr>
              <w:keepNext w:val="0"/>
              <w:keepLines w:val="0"/>
              <w:suppressLineNumbers w:val="0"/>
              <w:snapToGrid w:val="0"/>
              <w:spacing w:before="0" w:beforeAutospacing="0" w:after="0" w:afterAutospacing="0" w:line="360" w:lineRule="auto"/>
              <w:ind w:left="0" w:right="0"/>
              <w:jc w:val="center"/>
              <w:rPr>
                <w:rFonts w:hint="default" w:eastAsia="宋体"/>
                <w:lang w:val="en-US" w:eastAsia="zh-CN"/>
              </w:rPr>
            </w:pPr>
            <w:r>
              <w:rPr>
                <w:rFonts w:hint="eastAsia"/>
                <w:lang w:val="en-US" w:eastAsia="zh-CN"/>
              </w:rPr>
              <w:t>合同包</w:t>
            </w:r>
          </w:p>
        </w:tc>
        <w:tc>
          <w:tcPr>
            <w:tcW w:w="6072" w:type="dxa"/>
            <w:vAlign w:val="center"/>
          </w:tcPr>
          <w:p>
            <w:pPr>
              <w:keepNext w:val="0"/>
              <w:keepLines w:val="0"/>
              <w:suppressLineNumbers w:val="0"/>
              <w:snapToGrid w:val="0"/>
              <w:spacing w:before="0" w:beforeAutospacing="0" w:after="0" w:afterAutospacing="0" w:line="360" w:lineRule="auto"/>
              <w:ind w:left="0" w:right="0"/>
              <w:jc w:val="center"/>
              <w:rPr>
                <w:rFonts w:hint="default"/>
              </w:rPr>
            </w:pPr>
            <w:r>
              <w:rPr>
                <w:rFonts w:hint="default"/>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1包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1862" w:type="dxa"/>
            <w:vAlign w:val="center"/>
          </w:tcPr>
          <w:p>
            <w:pPr>
              <w:pStyle w:val="6"/>
              <w:keepNext w:val="0"/>
              <w:keepLines w:val="0"/>
              <w:suppressLineNumbers w:val="0"/>
              <w:spacing w:before="0" w:beforeAutospacing="0" w:after="0" w:afterAutospacing="0" w:line="360" w:lineRule="auto"/>
              <w:ind w:left="0" w:leftChars="0" w:right="0" w:firstLine="0" w:firstLineChars="0"/>
              <w:jc w:val="center"/>
              <w:rPr>
                <w:rFonts w:hint="eastAsia"/>
                <w:color w:val="000000" w:themeColor="text1"/>
                <w:szCs w:val="22"/>
                <w:lang w:val="en-US" w:eastAsia="zh-CN" w:bidi="ar"/>
                <w14:textFill>
                  <w14:solidFill>
                    <w14:schemeClr w14:val="tx1"/>
                  </w14:solidFill>
                </w14:textFill>
              </w:rPr>
            </w:pPr>
            <w:r>
              <w:rPr>
                <w:rFonts w:hint="eastAsia"/>
                <w:color w:val="000000" w:themeColor="text1"/>
                <w:szCs w:val="22"/>
                <w:lang w:val="en-US" w:eastAsia="zh-CN" w:bidi="ar"/>
                <w14:textFill>
                  <w14:solidFill>
                    <w14:schemeClr w14:val="tx1"/>
                  </w14:solidFill>
                </w14:textFill>
              </w:rPr>
              <w:t>2包</w:t>
            </w:r>
          </w:p>
        </w:tc>
        <w:tc>
          <w:tcPr>
            <w:tcW w:w="6072" w:type="dxa"/>
            <w:vAlign w:val="center"/>
          </w:tcPr>
          <w:p>
            <w:pPr>
              <w:pStyle w:val="6"/>
              <w:spacing w:after="0" w:line="360" w:lineRule="exact"/>
              <w:ind w:left="0" w:leftChars="0" w:firstLine="0" w:firstLineChars="0"/>
              <w:rPr>
                <w:szCs w:val="22"/>
                <w:lang w:bidi="ar"/>
              </w:rPr>
            </w:pPr>
            <w:r>
              <w:rPr>
                <w:szCs w:val="22"/>
                <w:lang w:bidi="ar"/>
              </w:rPr>
              <w:t>第一种方式</w:t>
            </w:r>
          </w:p>
          <w:p>
            <w:pPr>
              <w:pStyle w:val="6"/>
              <w:spacing w:after="0" w:line="360" w:lineRule="exact"/>
              <w:ind w:left="0" w:leftChars="0" w:firstLine="0" w:firstLineChars="0"/>
              <w:rPr>
                <w:szCs w:val="22"/>
                <w:lang w:bidi="ar"/>
              </w:rPr>
            </w:pPr>
            <w:r>
              <w:rPr>
                <w:szCs w:val="22"/>
                <w:lang w:bidi="ar"/>
              </w:rPr>
              <w:t>近三年每年的营业收入不少于100万元。</w:t>
            </w:r>
          </w:p>
          <w:p>
            <w:pPr>
              <w:pStyle w:val="6"/>
              <w:spacing w:after="0" w:line="360" w:lineRule="exact"/>
              <w:ind w:left="0" w:leftChars="0" w:firstLine="0" w:firstLineChars="0"/>
              <w:rPr>
                <w:szCs w:val="22"/>
                <w:lang w:bidi="ar"/>
              </w:rPr>
            </w:pPr>
            <w:r>
              <w:rPr>
                <w:szCs w:val="22"/>
                <w:lang w:bidi="ar"/>
              </w:rPr>
              <w:t>第二种方式</w:t>
            </w:r>
          </w:p>
          <w:p>
            <w:pPr>
              <w:pStyle w:val="6"/>
              <w:spacing w:after="0" w:line="360" w:lineRule="exact"/>
              <w:ind w:left="0" w:leftChars="0" w:firstLine="0" w:firstLineChars="0"/>
            </w:pPr>
            <w:r>
              <w:rPr>
                <w:szCs w:val="22"/>
                <w:lang w:bidi="ar"/>
              </w:rPr>
              <w:t>由银行出具</w:t>
            </w:r>
            <w:r>
              <w:rPr>
                <w:b/>
                <w:bCs/>
                <w:szCs w:val="22"/>
                <w:lang w:bidi="ar"/>
              </w:rPr>
              <w:t>（须有银行盖章）</w:t>
            </w:r>
            <w:r>
              <w:rPr>
                <w:szCs w:val="22"/>
                <w:lang w:bidi="ar"/>
              </w:rPr>
              <w:t>申请日前3个月内（202</w:t>
            </w:r>
            <w:r>
              <w:rPr>
                <w:rFonts w:hint="eastAsia"/>
                <w:szCs w:val="22"/>
                <w:lang w:bidi="ar"/>
              </w:rPr>
              <w:t>2</w:t>
            </w:r>
            <w:r>
              <w:rPr>
                <w:szCs w:val="22"/>
                <w:lang w:bidi="ar"/>
              </w:rPr>
              <w:t>年</w:t>
            </w:r>
            <w:r>
              <w:rPr>
                <w:rFonts w:hint="eastAsia"/>
                <w:szCs w:val="22"/>
                <w:lang w:val="en-US" w:eastAsia="zh-CN" w:bidi="ar"/>
              </w:rPr>
              <w:t>6</w:t>
            </w:r>
            <w:r>
              <w:rPr>
                <w:rFonts w:hint="eastAsia"/>
                <w:szCs w:val="22"/>
                <w:lang w:bidi="ar"/>
              </w:rPr>
              <w:t>月</w:t>
            </w:r>
            <w:r>
              <w:rPr>
                <w:szCs w:val="22"/>
                <w:lang w:bidi="ar"/>
              </w:rPr>
              <w:t>、202</w:t>
            </w:r>
            <w:r>
              <w:rPr>
                <w:rFonts w:hint="eastAsia"/>
                <w:szCs w:val="22"/>
                <w:lang w:bidi="ar"/>
              </w:rPr>
              <w:t>2</w:t>
            </w:r>
            <w:r>
              <w:rPr>
                <w:szCs w:val="22"/>
                <w:lang w:bidi="ar"/>
              </w:rPr>
              <w:t>年</w:t>
            </w:r>
            <w:r>
              <w:rPr>
                <w:rFonts w:hint="eastAsia"/>
                <w:szCs w:val="22"/>
                <w:lang w:val="en-US" w:eastAsia="zh-CN" w:bidi="ar"/>
              </w:rPr>
              <w:t>7</w:t>
            </w:r>
            <w:r>
              <w:rPr>
                <w:szCs w:val="22"/>
                <w:lang w:bidi="ar"/>
              </w:rPr>
              <w:t>月、202</w:t>
            </w:r>
            <w:r>
              <w:rPr>
                <w:rFonts w:hint="eastAsia"/>
                <w:szCs w:val="22"/>
                <w:lang w:bidi="ar"/>
              </w:rPr>
              <w:t>2</w:t>
            </w:r>
            <w:r>
              <w:rPr>
                <w:szCs w:val="22"/>
                <w:lang w:bidi="ar"/>
              </w:rPr>
              <w:t>年</w:t>
            </w:r>
            <w:r>
              <w:rPr>
                <w:rFonts w:hint="eastAsia"/>
                <w:szCs w:val="22"/>
                <w:lang w:val="en-US" w:eastAsia="zh-CN" w:bidi="ar"/>
              </w:rPr>
              <w:t>8</w:t>
            </w:r>
            <w:r>
              <w:rPr>
                <w:szCs w:val="22"/>
                <w:lang w:bidi="ar"/>
              </w:rPr>
              <w:t>月）的单位账户流水证明，每月月末账户余额平均值不少于20</w:t>
            </w:r>
            <w:r>
              <w:rPr>
                <w:rFonts w:hint="eastAsia"/>
                <w:szCs w:val="22"/>
                <w:lang w:bidi="ar"/>
              </w:rPr>
              <w:t>万</w:t>
            </w:r>
            <w:r>
              <w:rPr>
                <w:szCs w:val="22"/>
                <w:lang w:bidi="ar"/>
              </w:rPr>
              <w:t>元。</w:t>
            </w:r>
          </w:p>
          <w:p>
            <w:pPr>
              <w:pStyle w:val="6"/>
              <w:keepNext w:val="0"/>
              <w:keepLines w:val="0"/>
              <w:suppressLineNumbers w:val="0"/>
              <w:spacing w:before="0" w:beforeAutospacing="0" w:after="0" w:afterAutospacing="0" w:line="360" w:lineRule="auto"/>
              <w:ind w:left="0" w:leftChars="0" w:right="0" w:firstLine="0" w:firstLineChars="0"/>
              <w:rPr>
                <w:rFonts w:hint="default"/>
              </w:rPr>
            </w:pPr>
            <w:r>
              <w:rPr>
                <w:szCs w:val="22"/>
                <w:lang w:bidi="ar"/>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w:t>
      </w:r>
    </w:p>
    <w:p>
      <w:pPr>
        <w:snapToGrid w:val="0"/>
        <w:spacing w:line="360" w:lineRule="auto"/>
        <w:rPr>
          <w:rFonts w:eastAsia="黑体"/>
        </w:rPr>
      </w:pPr>
    </w:p>
    <w:p>
      <w:pPr>
        <w:snapToGrid w:val="0"/>
        <w:spacing w:line="360" w:lineRule="auto"/>
        <w:rPr>
          <w:rFonts w:eastAsia="黑体"/>
        </w:rPr>
      </w:pPr>
    </w:p>
    <w:p>
      <w:pPr>
        <w:snapToGrid w:val="0"/>
        <w:spacing w:line="360" w:lineRule="auto"/>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360" w:lineRule="auto"/>
        <w:jc w:val="center"/>
        <w:rPr>
          <w:rFonts w:eastAsia="黑体"/>
        </w:rPr>
      </w:pPr>
    </w:p>
    <w:tbl>
      <w:tblPr>
        <w:tblStyle w:val="7"/>
        <w:tblW w:w="82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78"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6866"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78"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jc w:val="center"/>
              <w:rPr>
                <w:rFonts w:hint="default" w:ascii="Times New Roman" w:hAnsi="Times New Roman" w:cs="Times New Roman"/>
                <w:color w:val="auto"/>
                <w:lang w:val="en-US"/>
              </w:rPr>
            </w:pPr>
            <w:r>
              <w:rPr>
                <w:rFonts w:hint="eastAsia" w:cs="Times New Roman"/>
                <w:color w:val="auto"/>
                <w:lang w:val="en-US" w:eastAsia="zh-CN"/>
              </w:rPr>
              <w:t>所有合同包</w:t>
            </w:r>
          </w:p>
        </w:tc>
        <w:tc>
          <w:tcPr>
            <w:tcW w:w="6866"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rPr>
                <w:rFonts w:hint="default" w:ascii="Times New Roman" w:hAnsi="Times New Roman" w:cs="Times New Roman"/>
                <w:color w:val="auto"/>
                <w:sz w:val="28"/>
                <w:szCs w:val="28"/>
              </w:rPr>
            </w:pPr>
            <w:r>
              <w:rPr>
                <w:rFonts w:hint="default" w:ascii="Times New Roman" w:hAnsi="Times New Roman"/>
                <w:color w:val="auto"/>
                <w:kern w:val="0"/>
                <w:sz w:val="24"/>
                <w:szCs w:val="24"/>
                <w:lang w:bidi="ar"/>
              </w:rPr>
              <w:t>近 5 年</w:t>
            </w:r>
            <w:r>
              <w:rPr>
                <w:rFonts w:hint="eastAsia" w:ascii="Times New Roman" w:hAnsi="Times New Roman"/>
                <w:color w:val="auto"/>
                <w:kern w:val="0"/>
                <w:sz w:val="24"/>
                <w:szCs w:val="24"/>
                <w:lang w:bidi="ar"/>
              </w:rPr>
              <w:t>累计销售与拟供本项目的车辆</w:t>
            </w:r>
            <w:r>
              <w:rPr>
                <w:rFonts w:hint="default" w:ascii="Times New Roman" w:hAnsi="Times New Roman"/>
                <w:color w:val="auto"/>
                <w:kern w:val="0"/>
                <w:sz w:val="24"/>
                <w:szCs w:val="24"/>
                <w:lang w:bidi="ar"/>
              </w:rPr>
              <w:t>同同规格的车辆数量</w:t>
            </w:r>
            <w:r>
              <w:rPr>
                <w:rFonts w:hint="eastAsia" w:ascii="Times New Roman" w:hAnsi="Times New Roman"/>
                <w:color w:val="auto"/>
                <w:kern w:val="0"/>
                <w:sz w:val="24"/>
                <w:szCs w:val="24"/>
                <w:lang w:bidi="ar"/>
              </w:rPr>
              <w:t>分别</w:t>
            </w:r>
            <w:r>
              <w:rPr>
                <w:rFonts w:hint="default" w:ascii="Times New Roman" w:hAnsi="Times New Roman"/>
                <w:color w:val="auto"/>
                <w:kern w:val="0"/>
                <w:sz w:val="24"/>
                <w:szCs w:val="24"/>
                <w:lang w:bidi="ar"/>
              </w:rPr>
              <w:t>不少于</w:t>
            </w:r>
            <w:r>
              <w:rPr>
                <w:rFonts w:hint="eastAsia"/>
                <w:color w:val="auto"/>
                <w:kern w:val="0"/>
                <w:sz w:val="24"/>
                <w:szCs w:val="24"/>
                <w:lang w:val="en-US" w:eastAsia="zh-CN" w:bidi="ar"/>
              </w:rPr>
              <w:t>遴选</w:t>
            </w:r>
            <w:r>
              <w:rPr>
                <w:rFonts w:hint="default" w:ascii="Times New Roman" w:hAnsi="Times New Roman"/>
                <w:color w:val="auto"/>
                <w:kern w:val="0"/>
                <w:sz w:val="24"/>
                <w:szCs w:val="24"/>
                <w:lang w:bidi="ar"/>
              </w:rPr>
              <w:t>公告附件2</w:t>
            </w:r>
            <w:r>
              <w:rPr>
                <w:rFonts w:hint="eastAsia" w:ascii="Times New Roman" w:hAnsi="Times New Roman"/>
                <w:color w:val="auto"/>
                <w:kern w:val="0"/>
                <w:sz w:val="24"/>
                <w:szCs w:val="24"/>
                <w:lang w:bidi="ar"/>
              </w:rPr>
              <w:t>中</w:t>
            </w:r>
            <w:r>
              <w:rPr>
                <w:rFonts w:hint="default" w:ascii="Times New Roman" w:hAnsi="Times New Roman"/>
                <w:color w:val="auto"/>
                <w:kern w:val="0"/>
                <w:sz w:val="24"/>
                <w:szCs w:val="24"/>
                <w:lang w:bidi="ar"/>
              </w:rPr>
              <w:t>规定的</w:t>
            </w:r>
            <w:r>
              <w:rPr>
                <w:rFonts w:hint="eastAsia" w:ascii="Times New Roman" w:hAnsi="Times New Roman"/>
                <w:color w:val="auto"/>
                <w:kern w:val="0"/>
                <w:sz w:val="24"/>
                <w:szCs w:val="24"/>
                <w:lang w:bidi="ar"/>
              </w:rPr>
              <w:t>各车型业绩要求最低</w:t>
            </w:r>
            <w:r>
              <w:rPr>
                <w:rFonts w:hint="default" w:ascii="Times New Roman" w:hAnsi="Times New Roman"/>
                <w:color w:val="auto"/>
                <w:kern w:val="0"/>
                <w:sz w:val="24"/>
                <w:szCs w:val="24"/>
                <w:lang w:bidi="ar"/>
              </w:rPr>
              <w:t>数量。</w:t>
            </w:r>
          </w:p>
        </w:tc>
      </w:tr>
    </w:tbl>
    <w:p>
      <w:pPr>
        <w:pStyle w:val="9"/>
        <w:spacing w:line="360" w:lineRule="auto"/>
        <w:rPr>
          <w:rFonts w:eastAsia="黑体"/>
          <w:kern w:val="0"/>
        </w:rPr>
      </w:pPr>
    </w:p>
    <w:p>
      <w:pPr>
        <w:pStyle w:val="9"/>
        <w:spacing w:line="360" w:lineRule="auto"/>
        <w:rPr>
          <w:rFonts w:eastAsia="黑体"/>
          <w:kern w:val="0"/>
        </w:rPr>
      </w:pPr>
      <w:r>
        <w:rPr>
          <w:rFonts w:eastAsia="黑体"/>
          <w:kern w:val="0"/>
        </w:rPr>
        <w:t>注：</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pStyle w:val="9"/>
        <w:spacing w:line="360" w:lineRule="auto"/>
        <w:rPr>
          <w:rFonts w:eastAsia="黑体"/>
          <w:kern w:val="0"/>
          <w:highlight w:val="none"/>
        </w:rPr>
      </w:pPr>
    </w:p>
    <w:p>
      <w:pPr>
        <w:pStyle w:val="9"/>
        <w:spacing w:line="360" w:lineRule="auto"/>
        <w:rPr>
          <w:rFonts w:eastAsia="黑体"/>
          <w:kern w:val="0"/>
          <w:highlight w:val="none"/>
        </w:rPr>
      </w:pPr>
    </w:p>
    <w:p>
      <w:pPr>
        <w:pStyle w:val="9"/>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360" w:lineRule="auto"/>
        <w:rPr>
          <w:bCs/>
        </w:rPr>
      </w:pPr>
    </w:p>
    <w:tbl>
      <w:tblPr>
        <w:tblStyle w:val="7"/>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61"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212" w:type="dxa"/>
            <w:noWrap w:val="0"/>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right="0"/>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15" w:hRule="atLeast"/>
          <w:jc w:val="center"/>
        </w:trPr>
        <w:tc>
          <w:tcPr>
            <w:tcW w:w="1661" w:type="dxa"/>
            <w:noWrap w:val="0"/>
            <w:vAlign w:val="center"/>
          </w:tcPr>
          <w:p>
            <w:pPr>
              <w:keepNext w:val="0"/>
              <w:keepLines w:val="0"/>
              <w:pageBreakBefore w:val="0"/>
              <w:suppressLineNumbers w:val="0"/>
              <w:kinsoku/>
              <w:overflowPunct/>
              <w:topLinePunct w:val="0"/>
              <w:autoSpaceDE/>
              <w:autoSpaceDN/>
              <w:bidi w:val="0"/>
              <w:spacing w:before="0" w:beforeAutospacing="0" w:after="0" w:afterAutospacing="0" w:line="360" w:lineRule="auto"/>
              <w:ind w:left="0" w:right="0"/>
              <w:jc w:val="center"/>
              <w:rPr>
                <w:rFonts w:hint="default" w:ascii="Times New Roman" w:hAnsi="Times New Roman" w:cs="Times New Roman"/>
                <w:color w:val="auto"/>
                <w:lang w:val="en-US"/>
              </w:rPr>
            </w:pPr>
            <w:r>
              <w:rPr>
                <w:rFonts w:hint="eastAsia" w:cs="Times New Roman"/>
                <w:color w:val="auto"/>
                <w:lang w:val="en-US" w:eastAsia="zh-CN"/>
              </w:rPr>
              <w:t>所有合同包</w:t>
            </w:r>
          </w:p>
        </w:tc>
        <w:tc>
          <w:tcPr>
            <w:tcW w:w="7212" w:type="dxa"/>
            <w:noWrap w:val="0"/>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（3）申请人或其法定代表人、拟委任的项目负责人在近三年内有行贿犯罪行为的；</w:t>
            </w:r>
          </w:p>
          <w:p>
            <w:pPr>
              <w:widowControl/>
              <w:spacing w:line="360" w:lineRule="auto"/>
              <w:rPr>
                <w:szCs w:val="22"/>
              </w:rPr>
            </w:pPr>
            <w:r>
              <w:t>（4）其他在“信用中国”网站（http://www.creditchina.gov.cn/）中被列为</w:t>
            </w:r>
            <w:r>
              <w:rPr>
                <w:szCs w:val="22"/>
              </w:rPr>
              <w:t>失信惩戒对象，且按联合惩戒要求禁止参与</w:t>
            </w:r>
            <w:r>
              <w:rPr>
                <w:rFonts w:hint="eastAsia"/>
                <w:szCs w:val="22"/>
              </w:rPr>
              <w:t>招投标</w:t>
            </w:r>
            <w:r>
              <w:rPr>
                <w:szCs w:val="22"/>
              </w:rPr>
              <w:t>的；</w:t>
            </w:r>
          </w:p>
          <w:p>
            <w:pPr>
              <w:pStyle w:val="5"/>
              <w:adjustRightInd w:val="0"/>
              <w:snapToGrid w:val="0"/>
              <w:spacing w:before="0" w:beforeAutospacing="0" w:after="0" w:afterAutospacing="0" w:line="360" w:lineRule="auto"/>
              <w:jc w:val="both"/>
              <w:rPr>
                <w:lang w:bidi="ar"/>
              </w:rPr>
            </w:pPr>
            <w:r>
              <w:rPr>
                <w:szCs w:val="22"/>
                <w:lang w:bidi="ar"/>
              </w:rPr>
              <w:t>（5）</w:t>
            </w:r>
            <w:r>
              <w:rPr>
                <w:lang w:bidi="ar"/>
              </w:rPr>
              <w:t>上一年度被列入</w:t>
            </w:r>
            <w:r>
              <w:rPr>
                <w:rFonts w:hint="eastAsia"/>
                <w:lang w:val="en-US" w:eastAsia="zh-CN" w:bidi="ar"/>
              </w:rPr>
              <w:t>湖北省高速公路实业开发有限公司</w:t>
            </w:r>
            <w:r>
              <w:rPr>
                <w:rFonts w:hint="eastAsia"/>
                <w:lang w:bidi="ar"/>
              </w:rPr>
              <w:t>考核不合格</w:t>
            </w:r>
            <w:r>
              <w:rPr>
                <w:lang w:bidi="ar"/>
              </w:rPr>
              <w:t>的协作单位；</w:t>
            </w:r>
          </w:p>
          <w:p>
            <w:pPr>
              <w:pStyle w:val="5"/>
              <w:keepNext w:val="0"/>
              <w:keepLines w:val="0"/>
              <w:pageBreakBefore w:val="0"/>
              <w:widowControl/>
              <w:suppressLineNumbers w:val="0"/>
              <w:kinsoku/>
              <w:overflowPunct/>
              <w:topLinePunct w:val="0"/>
              <w:autoSpaceDE/>
              <w:autoSpaceDN/>
              <w:bidi w:val="0"/>
              <w:adjustRightInd w:val="0"/>
              <w:snapToGrid w:val="0"/>
              <w:spacing w:before="0" w:beforeAutospacing="0" w:after="0" w:afterAutospacing="0" w:line="500" w:lineRule="exact"/>
              <w:ind w:left="0" w:right="0"/>
              <w:jc w:val="left"/>
              <w:rPr>
                <w:rFonts w:hint="default" w:ascii="Times New Roman" w:hAnsi="Times New Roman" w:cs="Times New Roman"/>
                <w:color w:val="auto"/>
              </w:rPr>
            </w:pPr>
            <w:r>
              <w:rPr>
                <w:lang w:bidi="ar"/>
              </w:rPr>
              <w:t>（6）近三年度被列入</w:t>
            </w:r>
            <w:r>
              <w:rPr>
                <w:rFonts w:hint="eastAsia"/>
                <w:lang w:val="en-US" w:eastAsia="zh-CN" w:bidi="ar"/>
              </w:rPr>
              <w:t>湖北省高速公路实业开发有限公司</w:t>
            </w:r>
            <w:r>
              <w:rPr>
                <w:rFonts w:hint="eastAsia"/>
                <w:lang w:bidi="ar"/>
              </w:rPr>
              <w:t>黑名单</w:t>
            </w:r>
            <w:r>
              <w:rPr>
                <w:lang w:bidi="ar"/>
              </w:rPr>
              <w:t>的协作单位。</w:t>
            </w:r>
          </w:p>
        </w:tc>
      </w:tr>
    </w:tbl>
    <w:p>
      <w:pPr>
        <w:snapToGrid w:val="0"/>
        <w:spacing w:line="360" w:lineRule="auto"/>
        <w:rPr>
          <w:rFonts w:eastAsia="黑体"/>
          <w:sz w:val="21"/>
          <w:szCs w:val="21"/>
        </w:rPr>
      </w:pPr>
    </w:p>
    <w:p>
      <w:pPr>
        <w:snapToGrid w:val="0"/>
        <w:spacing w:line="360" w:lineRule="auto"/>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w:t>
      </w:r>
      <w:r>
        <w:rPr>
          <w:rFonts w:hint="default" w:eastAsia="黑体"/>
          <w:sz w:val="21"/>
          <w:szCs w:val="21"/>
          <w:lang w:val="en-US" w:eastAsia="zh-CN"/>
        </w:rPr>
        <w:t>要求</w:t>
      </w:r>
      <w:r>
        <w:rPr>
          <w:rFonts w:eastAsia="黑体"/>
          <w:sz w:val="21"/>
          <w:szCs w:val="21"/>
        </w:rPr>
        <w:t>，应附指定网站截图，截图时间为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pStyle w:val="6"/>
        <w:spacing w:after="0" w:line="360" w:lineRule="auto"/>
        <w:ind w:left="480" w:firstLine="480"/>
      </w:pPr>
    </w:p>
    <w:p>
      <w:pPr>
        <w:widowControl/>
        <w:spacing w:line="240" w:lineRule="auto"/>
        <w:rPr>
          <w:rFonts w:hint="eastAsia" w:eastAsia="黑体"/>
          <w:szCs w:val="22"/>
          <w:lang w:val="en-US" w:eastAsia="zh-CN"/>
        </w:rPr>
      </w:pPr>
      <w:r>
        <w:rPr>
          <w:rFonts w:eastAsia="黑体"/>
        </w:rPr>
        <w:br w:type="page"/>
      </w:r>
      <w:r>
        <w:rPr>
          <w:rFonts w:eastAsia="黑体"/>
          <w:szCs w:val="22"/>
        </w:rPr>
        <w:t>附件</w:t>
      </w:r>
      <w:r>
        <w:rPr>
          <w:rFonts w:hint="eastAsia" w:eastAsia="黑体"/>
          <w:szCs w:val="22"/>
          <w:lang w:val="en-US" w:eastAsia="zh-CN"/>
        </w:rPr>
        <w:t>2</w:t>
      </w:r>
    </w:p>
    <w:p>
      <w:pPr>
        <w:snapToGrid w:val="0"/>
        <w:spacing w:line="360" w:lineRule="auto"/>
        <w:jc w:val="center"/>
        <w:rPr>
          <w:rFonts w:eastAsia="黑体"/>
          <w:b/>
          <w:bCs/>
          <w:sz w:val="32"/>
          <w:szCs w:val="32"/>
        </w:rPr>
      </w:pPr>
      <w:r>
        <w:rPr>
          <w:rFonts w:ascii="宋体" w:hAnsi="宋体" w:eastAsia="宋体" w:cs="宋体"/>
          <w:b/>
          <w:bCs/>
          <w:sz w:val="32"/>
          <w:szCs w:val="32"/>
          <w:highlight w:val="none"/>
          <w:lang w:bidi="ar"/>
        </w:rPr>
        <w:t>采购的设备类型、技术参数、数量</w:t>
      </w: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第1合同包</w:t>
      </w:r>
    </w:p>
    <w:tbl>
      <w:tblPr>
        <w:tblStyle w:val="7"/>
        <w:tblW w:w="91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25"/>
        <w:gridCol w:w="4846"/>
        <w:gridCol w:w="810"/>
        <w:gridCol w:w="1254"/>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序号</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车辆参数要求</w:t>
            </w:r>
          </w:p>
        </w:tc>
        <w:tc>
          <w:tcPr>
            <w:tcW w:w="8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数量（台）</w:t>
            </w:r>
          </w:p>
        </w:tc>
        <w:tc>
          <w:tcPr>
            <w:tcW w:w="1254"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bidi="ar"/>
              </w:rPr>
            </w:pPr>
            <w:r>
              <w:rPr>
                <w:rFonts w:hint="eastAsia" w:ascii="宋体" w:hAnsi="宋体" w:cs="宋体"/>
                <w:b/>
                <w:bCs/>
                <w:color w:val="auto"/>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1</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双排栏板车</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（一）整车</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1、载货汽车；</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2、国家工业和信息化部《道路机动车辆生产企业及产品公告》公告产品；</w:t>
            </w:r>
          </w:p>
          <w:p>
            <w:pPr>
              <w:keepNext w:val="0"/>
              <w:keepLines w:val="0"/>
              <w:widowControl/>
              <w:suppressLineNumbers w:val="0"/>
              <w:jc w:val="left"/>
              <w:textAlignment w:val="center"/>
              <w:rPr>
                <w:rStyle w:val="10"/>
                <w:color w:val="auto"/>
                <w:lang w:val="en-US" w:eastAsia="zh-CN" w:bidi="ar"/>
              </w:rPr>
            </w:pPr>
            <w:r>
              <w:rPr>
                <w:rFonts w:hint="eastAsia" w:ascii="宋体" w:hAnsi="宋体" w:eastAsia="宋体" w:cs="宋体"/>
                <w:i w:val="0"/>
                <w:iCs w:val="0"/>
                <w:color w:val="auto"/>
                <w:kern w:val="0"/>
                <w:sz w:val="18"/>
                <w:szCs w:val="18"/>
                <w:u w:val="none"/>
                <w:lang w:val="en-US" w:eastAsia="zh-CN" w:bidi="ar"/>
              </w:rPr>
              <w:t>3、总质量(kg)：＜4500</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★4、额定质量(kg)：≤1600；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5、外形尺寸（长/宽/高）(mm):≥5950×1940×2300;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★6、货厢尺寸（长/宽/高）(mm)：≥3130×1850×380；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7、驾驶室型式及准乘人数(人)：</w:t>
            </w:r>
            <w:r>
              <w:rPr>
                <w:rFonts w:hint="eastAsia" w:ascii="宋体" w:hAnsi="宋体" w:eastAsia="宋体" w:cs="宋体"/>
                <w:i w:val="0"/>
                <w:iCs w:val="0"/>
                <w:color w:val="auto"/>
                <w:kern w:val="0"/>
                <w:sz w:val="18"/>
                <w:szCs w:val="18"/>
                <w:u w:val="none"/>
                <w:lang w:val="en-US" w:eastAsia="zh-CN" w:bidi="ar"/>
              </w:rPr>
              <w:t>双排，≥5人</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8、整车含牌照费、附加费、运费；</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9、设备工作条件：环境温度-35。C～45。C</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10、车身颜色：黄</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11、质量保证期：3年或6万公里。</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（二）底盘</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★9、发动机功率（kw）:≥88;</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10、燃料种类：柴油；</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11、排放依据标准：GB17691-2018国Ⅵ；</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12、</w:t>
            </w:r>
            <w:r>
              <w:rPr>
                <w:rFonts w:hint="eastAsia" w:ascii="宋体" w:hAnsi="宋体" w:eastAsia="宋体" w:cs="宋体"/>
                <w:i w:val="0"/>
                <w:iCs w:val="0"/>
                <w:color w:val="auto"/>
                <w:kern w:val="0"/>
                <w:sz w:val="18"/>
                <w:szCs w:val="18"/>
                <w:u w:val="none"/>
                <w:lang w:val="en-US" w:eastAsia="zh-CN" w:bidi="ar"/>
              </w:rPr>
              <w:t>排量≤2.5</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13、</w:t>
            </w:r>
            <w:r>
              <w:rPr>
                <w:rFonts w:hint="eastAsia" w:ascii="宋体" w:hAnsi="宋体" w:eastAsia="宋体" w:cs="宋体"/>
                <w:i w:val="0"/>
                <w:iCs w:val="0"/>
                <w:color w:val="auto"/>
                <w:kern w:val="0"/>
                <w:sz w:val="18"/>
                <w:szCs w:val="18"/>
                <w:u w:val="none"/>
                <w:lang w:val="en-US" w:eastAsia="zh-CN" w:bidi="ar"/>
              </w:rPr>
              <w:t>变速箱5MT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14、轴数：≥2，</w:t>
            </w:r>
            <w:r>
              <w:rPr>
                <w:rFonts w:hint="eastAsia" w:ascii="宋体" w:hAnsi="宋体" w:eastAsia="宋体" w:cs="宋体"/>
                <w:i w:val="0"/>
                <w:iCs w:val="0"/>
                <w:color w:val="auto"/>
                <w:kern w:val="0"/>
                <w:sz w:val="18"/>
                <w:szCs w:val="18"/>
                <w:u w:val="none"/>
                <w:lang w:val="en-US" w:eastAsia="zh-CN" w:bidi="ar"/>
              </w:rPr>
              <w:t>轴距≥3300mm</w:t>
            </w:r>
            <w:r>
              <w:rPr>
                <w:rStyle w:val="10"/>
                <w:color w:val="auto"/>
                <w:lang w:val="en-US" w:eastAsia="zh-CN" w:bidi="ar"/>
              </w:rPr>
              <w:t>；</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16、轮胎数：≥6；</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★17、轮胎规格：7.00R16LT 8PR；</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18、前悬/后悬：1015/1515</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19、最高车速(km/h)：≥100；</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20、刹车系统：ABS；</w:t>
            </w:r>
          </w:p>
          <w:p>
            <w:pPr>
              <w:keepNext w:val="0"/>
              <w:keepLines w:val="0"/>
              <w:widowControl/>
              <w:suppressLineNumbers w:val="0"/>
              <w:jc w:val="left"/>
              <w:textAlignment w:val="center"/>
              <w:rPr>
                <w:rStyle w:val="10"/>
                <w:color w:val="auto"/>
                <w:lang w:val="en-US" w:eastAsia="zh-CN" w:bidi="ar"/>
              </w:rPr>
            </w:pPr>
            <w:r>
              <w:rPr>
                <w:rStyle w:val="10"/>
                <w:color w:val="auto"/>
                <w:lang w:val="en-US" w:eastAsia="zh-CN" w:bidi="ar"/>
              </w:rPr>
              <w:t>（三）功能配置</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Style w:val="10"/>
                <w:color w:val="auto"/>
                <w:lang w:val="en-US" w:eastAsia="zh-CN" w:bidi="ar"/>
              </w:rPr>
              <w:t>21、空调、无死角后视镜、中控锁电动车窗、方向盘转向助力。</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4</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18"/>
                <w:szCs w:val="18"/>
                <w:lang w:val="en-US" w:eastAsia="zh-CN"/>
              </w:rPr>
            </w:pPr>
            <w:r>
              <w:rPr>
                <w:rFonts w:hint="eastAsia" w:ascii="宋体" w:hAnsi="宋体" w:cs="宋体"/>
                <w:color w:val="auto"/>
                <w:kern w:val="0"/>
                <w:sz w:val="18"/>
                <w:szCs w:val="18"/>
                <w:lang w:eastAsia="zh-CN"/>
              </w:rPr>
              <w:t>1</w:t>
            </w:r>
            <w:r>
              <w:rPr>
                <w:rFonts w:hint="eastAsia" w:ascii="宋体" w:hAnsi="宋体" w:cs="宋体"/>
                <w:color w:val="auto"/>
                <w:kern w:val="0"/>
                <w:sz w:val="18"/>
                <w:szCs w:val="18"/>
                <w:lang w:val="en-US" w:eastAsia="zh-CN"/>
              </w:rPr>
              <w:t>0</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lang w:val="en-US" w:eastAsia="zh-CN"/>
              </w:rPr>
            </w:pPr>
            <w:r>
              <w:rPr>
                <w:rFonts w:hint="eastAsia" w:ascii="Times New Roman" w:hAnsi="Times New Roman" w:eastAsia="宋体" w:cs="Times New Roman"/>
                <w:color w:val="auto"/>
                <w:kern w:val="0"/>
                <w:sz w:val="24"/>
                <w:szCs w:val="20"/>
                <w:u w:val="none"/>
                <w:lang w:val="en-US" w:eastAsia="zh-CN" w:bidi="ar"/>
              </w:rPr>
              <w:t>推荐为江铃、庆铃、东风生产产品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2"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bidi="ar"/>
              </w:rPr>
              <w:t>2</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皮卡车</w:t>
            </w:r>
          </w:p>
        </w:tc>
        <w:tc>
          <w:tcPr>
            <w:tcW w:w="484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一、基本要求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★该产品为国家工业和信息化部《车辆生产企业及产品公告》中公布的产品。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★该产品需通过国家3C认证。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3)质量保证期：三年6万公里</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交货地点：用户指定地点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二、整车技术参数要求: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排放标准：国六</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★排量(ml)≥1900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 燃油种类：柴油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★功率KW≥100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 ★变速箱：5MT,两驱</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6)车身级别：皮卡</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 ★外形尺寸（MM）≥5700×1900×1800mm，货箱尺寸：≥1800×1450×480mm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 驾驶室准成人数≥5 人</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bookmarkStart w:id="2" w:name="_GoBack"/>
            <w:r>
              <w:rPr>
                <w:rFonts w:hint="eastAsia" w:ascii="宋体" w:hAnsi="宋体" w:cs="宋体"/>
                <w:i w:val="0"/>
                <w:iCs w:val="0"/>
                <w:color w:val="auto"/>
                <w:kern w:val="0"/>
                <w:sz w:val="18"/>
                <w:szCs w:val="18"/>
                <w:highlight w:val="none"/>
                <w:u w:val="none"/>
                <w:lang w:val="en-US" w:eastAsia="zh-CN" w:bidi="ar"/>
              </w:rPr>
              <w:t>9</w:t>
            </w:r>
            <w:r>
              <w:rPr>
                <w:rFonts w:hint="eastAsia" w:ascii="宋体" w:hAnsi="宋体" w:eastAsia="宋体" w:cs="宋体"/>
                <w:i w:val="0"/>
                <w:iCs w:val="0"/>
                <w:color w:val="auto"/>
                <w:kern w:val="0"/>
                <w:sz w:val="18"/>
                <w:szCs w:val="18"/>
                <w:highlight w:val="none"/>
                <w:u w:val="none"/>
                <w:lang w:val="en-US" w:eastAsia="zh-CN" w:bidi="ar"/>
              </w:rPr>
              <w:t>) 轴数≥2轴</w:t>
            </w:r>
          </w:p>
          <w:bookmarkEnd w:id="2"/>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轮胎数≥4个</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 ABS防抱死</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)轮胎规格：245/70R17</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)轮毂材质：铝合金</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4</w:t>
            </w:r>
            <w:r>
              <w:rPr>
                <w:rFonts w:hint="eastAsia" w:ascii="宋体" w:hAnsi="宋体" w:eastAsia="宋体" w:cs="宋体"/>
                <w:i w:val="0"/>
                <w:iCs w:val="0"/>
                <w:color w:val="auto"/>
                <w:kern w:val="0"/>
                <w:sz w:val="18"/>
                <w:szCs w:val="18"/>
                <w:u w:val="none"/>
                <w:lang w:val="en-US" w:eastAsia="zh-CN" w:bidi="ar"/>
              </w:rPr>
              <w:t>)驾驶室：●驾驶座气囊 ●副驾驶气囊 ●空调系统</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5</w:t>
            </w:r>
            <w:r>
              <w:rPr>
                <w:rFonts w:hint="eastAsia" w:ascii="宋体" w:hAnsi="宋体" w:eastAsia="宋体" w:cs="宋体"/>
                <w:i w:val="0"/>
                <w:iCs w:val="0"/>
                <w:color w:val="auto"/>
                <w:kern w:val="0"/>
                <w:sz w:val="18"/>
                <w:szCs w:val="18"/>
                <w:u w:val="none"/>
                <w:lang w:val="en-US" w:eastAsia="zh-CN" w:bidi="ar"/>
              </w:rPr>
              <w:t>)方向盘：液压助力</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※带★号项为必须满足条款。</w:t>
            </w:r>
          </w:p>
        </w:tc>
        <w:tc>
          <w:tcPr>
            <w:tcW w:w="810"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2</w:t>
            </w:r>
          </w:p>
        </w:tc>
        <w:tc>
          <w:tcPr>
            <w:tcW w:w="1254"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rPr>
              <w:t>10</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cs="宋体"/>
                <w:color w:val="auto"/>
                <w:sz w:val="18"/>
                <w:szCs w:val="18"/>
                <w:lang w:val="en-US"/>
              </w:rPr>
            </w:pPr>
            <w:r>
              <w:rPr>
                <w:rFonts w:hint="eastAsia" w:ascii="Times New Roman" w:hAnsi="Times New Roman" w:eastAsia="宋体" w:cs="Times New Roman"/>
                <w:color w:val="auto"/>
                <w:kern w:val="0"/>
                <w:sz w:val="24"/>
                <w:szCs w:val="20"/>
                <w:u w:val="none"/>
                <w:lang w:val="en-US" w:eastAsia="zh-CN" w:bidi="ar"/>
              </w:rPr>
              <w:t>推荐为江铃、庆铃、东风生产产品</w:t>
            </w:r>
          </w:p>
        </w:tc>
      </w:tr>
    </w:tbl>
    <w:p>
      <w:pPr>
        <w:spacing w:line="240" w:lineRule="auto"/>
        <w:ind w:firstLine="0" w:firstLineChars="0"/>
        <w:jc w:val="center"/>
        <w:rPr>
          <w:rFonts w:hint="eastAsia" w:eastAsia="黑体"/>
          <w:lang w:val="en-US" w:eastAsia="zh-CN"/>
        </w:rPr>
      </w:pPr>
    </w:p>
    <w:p>
      <w:pPr>
        <w:spacing w:line="240" w:lineRule="auto"/>
        <w:ind w:firstLine="0" w:firstLineChars="0"/>
        <w:jc w:val="left"/>
        <w:rPr>
          <w:rFonts w:hint="default" w:eastAsia="黑体" w:cs="Times New Roman"/>
          <w:kern w:val="2"/>
          <w:sz w:val="24"/>
          <w:szCs w:val="24"/>
          <w:lang w:val="en-US" w:eastAsia="zh-CN" w:bidi="ar"/>
        </w:rPr>
      </w:pPr>
      <w:r>
        <w:rPr>
          <w:rFonts w:hint="eastAsia" w:eastAsia="黑体"/>
          <w:lang w:val="en-US" w:eastAsia="zh-CN"/>
        </w:rPr>
        <w:t>注：对于附表参数中表明的品牌，为遴选人推荐使用品牌，申请人必须采用推荐品牌或同等档次的品牌设备进行报价</w:t>
      </w:r>
      <w:r>
        <w:rPr>
          <w:rFonts w:hint="eastAsia" w:eastAsia="黑体" w:cs="Times New Roman"/>
          <w:kern w:val="2"/>
          <w:sz w:val="24"/>
          <w:szCs w:val="24"/>
          <w:lang w:val="en-US" w:eastAsia="zh-CN" w:bidi="ar"/>
        </w:rPr>
        <w:t>。如中选后，中选人所供设备不能满足遴选人使用要求，应按遴选人要求无条件更换为推荐品牌或同档次品牌产品，且报价不予调整。</w:t>
      </w: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sz w:val="28"/>
          <w:szCs w:val="28"/>
          <w:lang w:val="en-US" w:eastAsia="zh-CN"/>
        </w:rPr>
      </w:pPr>
    </w:p>
    <w:p>
      <w:pPr>
        <w:spacing w:line="240" w:lineRule="auto"/>
        <w:ind w:firstLine="0" w:firstLineChars="0"/>
        <w:jc w:val="center"/>
        <w:rPr>
          <w:rFonts w:hint="eastAsia" w:eastAsia="黑体"/>
          <w:lang w:val="en-US" w:eastAsia="zh-CN"/>
        </w:rPr>
      </w:pPr>
      <w:r>
        <w:rPr>
          <w:rFonts w:hint="eastAsia" w:eastAsia="黑体"/>
          <w:sz w:val="28"/>
          <w:szCs w:val="28"/>
          <w:lang w:val="en-US" w:eastAsia="zh-CN"/>
        </w:rPr>
        <w:t>第2合同包</w:t>
      </w:r>
    </w:p>
    <w:tbl>
      <w:tblPr>
        <w:tblStyle w:val="7"/>
        <w:tblW w:w="91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8"/>
        <w:gridCol w:w="825"/>
        <w:gridCol w:w="4760"/>
        <w:gridCol w:w="769"/>
        <w:gridCol w:w="1381"/>
        <w:gridCol w:w="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序号</w:t>
            </w:r>
          </w:p>
        </w:tc>
        <w:tc>
          <w:tcPr>
            <w:tcW w:w="825"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w:t>
            </w:r>
          </w:p>
        </w:tc>
        <w:tc>
          <w:tcPr>
            <w:tcW w:w="4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车辆参数要求</w:t>
            </w:r>
          </w:p>
        </w:tc>
        <w:tc>
          <w:tcPr>
            <w:tcW w:w="76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sz w:val="18"/>
                <w:szCs w:val="18"/>
                <w:lang w:val="en-US"/>
              </w:rPr>
            </w:pPr>
            <w:r>
              <w:rPr>
                <w:rFonts w:hint="eastAsia" w:ascii="宋体" w:hAnsi="宋体" w:eastAsia="宋体" w:cs="宋体"/>
                <w:b/>
                <w:bCs/>
                <w:color w:val="auto"/>
                <w:kern w:val="0"/>
                <w:sz w:val="18"/>
                <w:szCs w:val="18"/>
                <w:lang w:val="en-US" w:eastAsia="zh-CN" w:bidi="ar"/>
              </w:rPr>
              <w:t>数量（台）</w:t>
            </w:r>
          </w:p>
        </w:tc>
        <w:tc>
          <w:tcPr>
            <w:tcW w:w="1381"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bidi="ar"/>
              </w:rPr>
            </w:pPr>
            <w:r>
              <w:rPr>
                <w:rFonts w:hint="eastAsia" w:ascii="宋体" w:hAnsi="宋体" w:cs="宋体"/>
                <w:b/>
                <w:bCs/>
                <w:color w:val="auto"/>
                <w:kern w:val="0"/>
                <w:sz w:val="18"/>
                <w:szCs w:val="18"/>
                <w:lang w:bidi="ar"/>
              </w:rPr>
              <w:t>业绩要求最低数量(台)</w:t>
            </w:r>
          </w:p>
        </w:tc>
        <w:tc>
          <w:tcPr>
            <w:tcW w:w="80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5" w:hRule="atLeast"/>
          <w:jc w:val="center"/>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cs="宋体"/>
                <w:color w:val="auto"/>
                <w:kern w:val="0"/>
                <w:sz w:val="18"/>
                <w:szCs w:val="18"/>
                <w:lang w:val="en-US" w:eastAsia="zh-CN" w:bidi="ar"/>
              </w:rPr>
              <w:t>1</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护栏抢修车</w:t>
            </w:r>
          </w:p>
        </w:tc>
        <w:tc>
          <w:tcPr>
            <w:tcW w:w="476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一、基本要求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★该产品为国家工业和信息化部《车辆生产企业及产品公告》中公布的产品。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★该产品需通过国家3C认证。</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3)质量保证期：三年6万公里</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交货地点：用户指定地点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二、整车技术参数要求:</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 排放标准：国六</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 ★排量(ml)≥2700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 燃油种类：柴油</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 ★功率KW≥90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 ★变速箱：5MT</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6)总质量(kg)：＜6550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 ★外形尺寸（MM）≥6200×1800×2800mm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 驾驶室准成人数≥5人</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9</w:t>
            </w:r>
            <w:r>
              <w:rPr>
                <w:rFonts w:hint="eastAsia" w:ascii="宋体" w:hAnsi="宋体" w:eastAsia="宋体" w:cs="宋体"/>
                <w:i w:val="0"/>
                <w:iCs w:val="0"/>
                <w:color w:val="auto"/>
                <w:kern w:val="0"/>
                <w:sz w:val="18"/>
                <w:szCs w:val="18"/>
                <w:highlight w:val="none"/>
                <w:u w:val="none"/>
                <w:lang w:val="en-US" w:eastAsia="zh-CN" w:bidi="ar"/>
              </w:rPr>
              <w:t>) 轴数≥2轴</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0</w:t>
            </w:r>
            <w:r>
              <w:rPr>
                <w:rFonts w:hint="eastAsia" w:ascii="宋体" w:hAnsi="宋体" w:eastAsia="宋体" w:cs="宋体"/>
                <w:i w:val="0"/>
                <w:iCs w:val="0"/>
                <w:color w:val="auto"/>
                <w:kern w:val="0"/>
                <w:sz w:val="18"/>
                <w:szCs w:val="18"/>
                <w:u w:val="none"/>
                <w:lang w:val="en-US" w:eastAsia="zh-CN" w:bidi="ar"/>
              </w:rPr>
              <w:t>) 轮胎数≥6个</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1</w:t>
            </w:r>
            <w:r>
              <w:rPr>
                <w:rFonts w:hint="eastAsia" w:ascii="宋体" w:hAnsi="宋体" w:eastAsia="宋体" w:cs="宋体"/>
                <w:i w:val="0"/>
                <w:iCs w:val="0"/>
                <w:color w:val="auto"/>
                <w:kern w:val="0"/>
                <w:sz w:val="18"/>
                <w:szCs w:val="18"/>
                <w:u w:val="none"/>
                <w:lang w:val="en-US" w:eastAsia="zh-CN" w:bidi="ar"/>
              </w:rPr>
              <w:t>) ABS防抱死</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2</w:t>
            </w:r>
            <w:r>
              <w:rPr>
                <w:rFonts w:hint="eastAsia" w:ascii="宋体" w:hAnsi="宋体" w:eastAsia="宋体" w:cs="宋体"/>
                <w:i w:val="0"/>
                <w:iCs w:val="0"/>
                <w:color w:val="auto"/>
                <w:kern w:val="0"/>
                <w:sz w:val="18"/>
                <w:szCs w:val="18"/>
                <w:u w:val="none"/>
                <w:lang w:val="en-US" w:eastAsia="zh-CN" w:bidi="ar"/>
              </w:rPr>
              <w:t>)轮胎规格：7.00R16LT 8PR</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三、打拔桩装置：</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3</w:t>
            </w:r>
            <w:r>
              <w:rPr>
                <w:rFonts w:hint="eastAsia" w:ascii="宋体" w:hAnsi="宋体" w:eastAsia="宋体" w:cs="宋体"/>
                <w:i w:val="0"/>
                <w:iCs w:val="0"/>
                <w:color w:val="auto"/>
                <w:kern w:val="0"/>
                <w:sz w:val="18"/>
                <w:szCs w:val="18"/>
                <w:u w:val="none"/>
                <w:lang w:val="en-US" w:eastAsia="zh-CN" w:bidi="ar"/>
              </w:rPr>
              <w:t>)拔桩力≥95KN，拔桩行程≥2m；</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4</w:t>
            </w:r>
            <w:r>
              <w:rPr>
                <w:rFonts w:hint="eastAsia" w:ascii="宋体" w:hAnsi="宋体" w:eastAsia="宋体" w:cs="宋体"/>
                <w:i w:val="0"/>
                <w:iCs w:val="0"/>
                <w:color w:val="auto"/>
                <w:kern w:val="0"/>
                <w:sz w:val="18"/>
                <w:szCs w:val="18"/>
                <w:u w:val="none"/>
                <w:lang w:val="en-US" w:eastAsia="zh-CN" w:bidi="ar"/>
              </w:rPr>
              <w:t>)装置可回转≥240°；</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5</w:t>
            </w:r>
            <w:r>
              <w:rPr>
                <w:rFonts w:hint="eastAsia" w:ascii="宋体" w:hAnsi="宋体" w:eastAsia="宋体" w:cs="宋体"/>
                <w:i w:val="0"/>
                <w:iCs w:val="0"/>
                <w:color w:val="auto"/>
                <w:kern w:val="0"/>
                <w:sz w:val="18"/>
                <w:szCs w:val="18"/>
                <w:u w:val="none"/>
                <w:lang w:val="en-US" w:eastAsia="zh-CN" w:bidi="ar"/>
              </w:rPr>
              <w:t>)液压锤工作高度≥2700mm，液压锤冲击力10-17Mpa，液压锤冲击频率8-15Hz，液压系统流量30-65L/min，系统工作压力≥16Mpa</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1</w:t>
            </w:r>
            <w:r>
              <w:rPr>
                <w:rFonts w:hint="eastAsia" w:ascii="宋体" w:hAnsi="宋体" w:cs="宋体"/>
                <w:i w:val="0"/>
                <w:iCs w:val="0"/>
                <w:color w:val="auto"/>
                <w:kern w:val="0"/>
                <w:sz w:val="18"/>
                <w:szCs w:val="18"/>
                <w:highlight w:val="none"/>
                <w:u w:val="none"/>
                <w:lang w:val="en-US" w:eastAsia="zh-CN" w:bidi="ar"/>
              </w:rPr>
              <w:t>6</w:t>
            </w:r>
            <w:r>
              <w:rPr>
                <w:rFonts w:hint="eastAsia" w:ascii="宋体" w:hAnsi="宋体" w:eastAsia="宋体" w:cs="宋体"/>
                <w:i w:val="0"/>
                <w:iCs w:val="0"/>
                <w:color w:val="auto"/>
                <w:kern w:val="0"/>
                <w:sz w:val="18"/>
                <w:szCs w:val="18"/>
                <w:highlight w:val="none"/>
                <w:u w:val="none"/>
                <w:lang w:val="en-US" w:eastAsia="zh-CN" w:bidi="ar"/>
              </w:rPr>
              <w:t>)带钻孔装置</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四、功能配置</w:t>
            </w:r>
          </w:p>
          <w:p>
            <w:pPr>
              <w:keepNext w:val="0"/>
              <w:keepLines w:val="0"/>
              <w:widowControl/>
              <w:suppressLineNumbers w:val="0"/>
              <w:jc w:val="left"/>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r>
              <w:rPr>
                <w:rFonts w:hint="eastAsia" w:ascii="宋体" w:hAnsi="宋体" w:cs="宋体"/>
                <w:i w:val="0"/>
                <w:iCs w:val="0"/>
                <w:color w:val="auto"/>
                <w:kern w:val="0"/>
                <w:sz w:val="18"/>
                <w:szCs w:val="18"/>
                <w:u w:val="none"/>
                <w:lang w:val="en-US" w:eastAsia="zh-CN" w:bidi="ar"/>
              </w:rPr>
              <w:t>7</w:t>
            </w:r>
            <w:r>
              <w:rPr>
                <w:rFonts w:hint="eastAsia" w:ascii="宋体" w:hAnsi="宋体" w:eastAsia="宋体" w:cs="宋体"/>
                <w:i w:val="0"/>
                <w:iCs w:val="0"/>
                <w:color w:val="auto"/>
                <w:kern w:val="0"/>
                <w:sz w:val="18"/>
                <w:szCs w:val="18"/>
                <w:u w:val="none"/>
                <w:lang w:val="en-US" w:eastAsia="zh-CN" w:bidi="ar"/>
              </w:rPr>
              <w:t>)空调、无死角后视镜、中控锁电动车窗、方向盘转向助力。</w:t>
            </w:r>
          </w:p>
          <w:p>
            <w:pPr>
              <w:keepNext w:val="0"/>
              <w:keepLines w:val="0"/>
              <w:widowControl/>
              <w:suppressLineNumbers w:val="0"/>
              <w:jc w:val="left"/>
              <w:textAlignment w:val="center"/>
              <w:rPr>
                <w:rFonts w:hint="eastAsia" w:ascii="宋体" w:hAnsi="宋体" w:eastAsia="宋体" w:cs="宋体"/>
                <w:color w:val="auto"/>
                <w:sz w:val="18"/>
                <w:szCs w:val="18"/>
                <w:u w:val="none"/>
                <w:lang w:val="en-US"/>
              </w:rPr>
            </w:pPr>
            <w:r>
              <w:rPr>
                <w:rFonts w:hint="eastAsia" w:ascii="宋体" w:hAnsi="宋体" w:eastAsia="宋体" w:cs="宋体"/>
                <w:i w:val="0"/>
                <w:iCs w:val="0"/>
                <w:color w:val="auto"/>
                <w:kern w:val="0"/>
                <w:sz w:val="18"/>
                <w:szCs w:val="18"/>
                <w:u w:val="none"/>
                <w:lang w:val="en-US" w:eastAsia="zh-CN" w:bidi="ar"/>
              </w:rPr>
              <w:t>※带★号项为必须满足条款。</w:t>
            </w:r>
          </w:p>
        </w:tc>
        <w:tc>
          <w:tcPr>
            <w:tcW w:w="769"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sz w:val="18"/>
                <w:szCs w:val="18"/>
                <w:lang w:val="en-US"/>
              </w:rPr>
            </w:pPr>
            <w:r>
              <w:rPr>
                <w:rFonts w:hint="eastAsia" w:ascii="宋体" w:hAnsi="宋体" w:eastAsia="宋体" w:cs="宋体"/>
                <w:color w:val="auto"/>
                <w:kern w:val="0"/>
                <w:sz w:val="18"/>
                <w:szCs w:val="18"/>
                <w:lang w:val="en-US" w:eastAsia="zh-CN" w:bidi="ar"/>
              </w:rPr>
              <w:t>1</w:t>
            </w:r>
          </w:p>
        </w:tc>
        <w:tc>
          <w:tcPr>
            <w:tcW w:w="1381" w:type="dxa"/>
            <w:tcBorders>
              <w:top w:val="single" w:color="000000" w:sz="4" w:space="0"/>
              <w:left w:val="nil"/>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leftChars="0" w:right="0" w:rightChars="0"/>
              <w:jc w:val="center"/>
              <w:rPr>
                <w:rFonts w:hint="eastAsia" w:ascii="宋体" w:hAnsi="宋体" w:eastAsia="宋体" w:cs="宋体"/>
                <w:color w:val="auto"/>
                <w:kern w:val="2"/>
                <w:sz w:val="18"/>
                <w:szCs w:val="18"/>
              </w:rPr>
            </w:pPr>
            <w:r>
              <w:rPr>
                <w:rFonts w:hint="eastAsia" w:ascii="宋体" w:hAnsi="宋体" w:cs="宋体"/>
                <w:color w:val="auto"/>
                <w:kern w:val="0"/>
                <w:sz w:val="18"/>
                <w:szCs w:val="18"/>
                <w:lang w:val="en-US" w:eastAsia="zh-CN"/>
              </w:rPr>
              <w:t>2</w:t>
            </w:r>
            <w:r>
              <w:rPr>
                <w:rFonts w:hint="eastAsia" w:ascii="宋体" w:hAnsi="宋体" w:cs="宋体"/>
                <w:color w:val="auto"/>
                <w:kern w:val="0"/>
                <w:sz w:val="18"/>
                <w:szCs w:val="18"/>
              </w:rPr>
              <w:t>0</w:t>
            </w:r>
          </w:p>
        </w:tc>
        <w:tc>
          <w:tcPr>
            <w:tcW w:w="8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auto"/>
                <w:kern w:val="2"/>
                <w:sz w:val="18"/>
                <w:szCs w:val="18"/>
              </w:rPr>
            </w:pPr>
          </w:p>
        </w:tc>
      </w:tr>
    </w:tbl>
    <w:p>
      <w:pPr>
        <w:rPr>
          <w:rFonts w:hint="eastAsia" w:eastAsia="黑体"/>
          <w:szCs w:val="22"/>
          <w:lang w:val="en-US" w:eastAsia="zh-CN"/>
        </w:rPr>
      </w:pPr>
      <w:r>
        <w:rPr>
          <w:rFonts w:hint="eastAsia" w:eastAsia="黑体"/>
        </w:rPr>
        <w:br w:type="page"/>
      </w:r>
    </w:p>
    <w:p>
      <w:pPr>
        <w:pStyle w:val="6"/>
        <w:rPr>
          <w:rFonts w:hint="eastAsia" w:eastAsia="黑体"/>
          <w:szCs w:val="22"/>
          <w:lang w:val="en-US" w:eastAsia="zh-CN"/>
        </w:rPr>
      </w:pPr>
    </w:p>
    <w:p>
      <w:pPr>
        <w:spacing w:line="360" w:lineRule="auto"/>
        <w:jc w:val="center"/>
        <w:rPr>
          <w:rFonts w:hint="eastAsia" w:ascii="宋体" w:hAnsi="宋体" w:cs="宋体"/>
          <w:b/>
          <w:bCs/>
          <w:sz w:val="32"/>
          <w:szCs w:val="32"/>
        </w:rPr>
      </w:pPr>
      <w:r>
        <w:rPr>
          <w:rFonts w:hint="eastAsia" w:ascii="宋体" w:hAnsi="宋体" w:cs="宋体"/>
          <w:b/>
          <w:bCs/>
          <w:sz w:val="32"/>
          <w:szCs w:val="32"/>
          <w:lang w:eastAsia="zh-CN"/>
        </w:rPr>
        <w:t>2022年日常养护项目机械设备供应商（</w:t>
      </w:r>
      <w:r>
        <w:rPr>
          <w:rFonts w:hint="eastAsia" w:ascii="宋体" w:hAnsi="宋体" w:cs="宋体"/>
          <w:b/>
          <w:bCs/>
          <w:sz w:val="32"/>
          <w:szCs w:val="32"/>
          <w:lang w:val="en-US" w:eastAsia="zh-CN"/>
        </w:rPr>
        <w:t>第二次</w:t>
      </w:r>
      <w:r>
        <w:rPr>
          <w:rFonts w:hint="eastAsia" w:ascii="宋体" w:hAnsi="宋体" w:cs="宋体"/>
          <w:b/>
          <w:bCs/>
          <w:sz w:val="32"/>
          <w:szCs w:val="32"/>
          <w:lang w:eastAsia="zh-CN"/>
        </w:rPr>
        <w:t>）</w:t>
      </w:r>
      <w:r>
        <w:rPr>
          <w:rFonts w:hint="eastAsia" w:ascii="宋体" w:hAnsi="宋体" w:cs="宋体"/>
          <w:b/>
          <w:bCs/>
          <w:sz w:val="32"/>
          <w:szCs w:val="32"/>
        </w:rPr>
        <w:t>遴选</w:t>
      </w:r>
    </w:p>
    <w:p>
      <w:pPr>
        <w:spacing w:line="360" w:lineRule="auto"/>
        <w:jc w:val="center"/>
        <w:rPr>
          <w:rFonts w:ascii="宋体" w:hAnsi="宋体" w:cs="宋体"/>
          <w:b/>
          <w:bCs/>
          <w:sz w:val="32"/>
          <w:szCs w:val="32"/>
        </w:rPr>
      </w:pPr>
      <w:r>
        <w:rPr>
          <w:rFonts w:hint="eastAsia" w:ascii="宋体" w:hAnsi="宋体" w:cs="宋体"/>
          <w:b/>
          <w:bCs/>
          <w:sz w:val="32"/>
          <w:szCs w:val="32"/>
        </w:rPr>
        <w:t>申请单位报名登记表</w:t>
      </w:r>
    </w:p>
    <w:p>
      <w:pPr>
        <w:pStyle w:val="11"/>
        <w:spacing w:line="360" w:lineRule="auto"/>
        <w:rPr>
          <w:rFonts w:hint="default"/>
          <w:color w:val="auto"/>
        </w:rPr>
      </w:pPr>
    </w:p>
    <w:tbl>
      <w:tblPr>
        <w:tblStyle w:val="7"/>
        <w:tblW w:w="9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4"/>
        <w:gridCol w:w="1483"/>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4" w:type="dxa"/>
            <w:vAlign w:val="center"/>
          </w:tcPr>
          <w:p>
            <w:pPr>
              <w:widowControl/>
              <w:spacing w:line="360" w:lineRule="auto"/>
              <w:jc w:val="center"/>
              <w:rPr>
                <w:rFonts w:ascii="宋体" w:hAnsi="宋体" w:cs="宋体"/>
                <w:szCs w:val="22"/>
              </w:rPr>
            </w:pPr>
            <w:r>
              <w:rPr>
                <w:rFonts w:hint="eastAsia" w:ascii="宋体" w:hAnsi="宋体" w:cs="宋体"/>
                <w:szCs w:val="22"/>
              </w:rPr>
              <w:t>申请单位名称</w:t>
            </w:r>
          </w:p>
        </w:tc>
        <w:tc>
          <w:tcPr>
            <w:tcW w:w="1483" w:type="dxa"/>
            <w:vAlign w:val="center"/>
          </w:tcPr>
          <w:p>
            <w:pPr>
              <w:widowControl/>
              <w:spacing w:line="360" w:lineRule="auto"/>
              <w:jc w:val="center"/>
              <w:rPr>
                <w:rFonts w:hint="default" w:ascii="宋体" w:hAnsi="宋体" w:eastAsia="宋体" w:cs="宋体"/>
                <w:szCs w:val="22"/>
                <w:lang w:val="en-US" w:eastAsia="zh-CN"/>
              </w:rPr>
            </w:pPr>
            <w:r>
              <w:rPr>
                <w:rFonts w:hint="eastAsia" w:ascii="宋体" w:hAnsi="宋体" w:cs="宋体"/>
                <w:szCs w:val="22"/>
                <w:lang w:val="en-US" w:eastAsia="zh-CN"/>
              </w:rPr>
              <w:t>申请合同包</w:t>
            </w:r>
          </w:p>
        </w:tc>
        <w:tc>
          <w:tcPr>
            <w:tcW w:w="1483" w:type="dxa"/>
            <w:vAlign w:val="center"/>
          </w:tcPr>
          <w:p>
            <w:pPr>
              <w:widowControl/>
              <w:spacing w:line="360" w:lineRule="auto"/>
              <w:jc w:val="center"/>
              <w:rPr>
                <w:rFonts w:ascii="宋体" w:hAnsi="宋体" w:cs="宋体"/>
                <w:szCs w:val="22"/>
              </w:rPr>
            </w:pPr>
            <w:r>
              <w:rPr>
                <w:rFonts w:hint="eastAsia" w:ascii="宋体" w:hAnsi="宋体" w:cs="宋体"/>
                <w:szCs w:val="22"/>
              </w:rPr>
              <w:t>联系人</w:t>
            </w:r>
          </w:p>
        </w:tc>
        <w:tc>
          <w:tcPr>
            <w:tcW w:w="1309" w:type="dxa"/>
            <w:vAlign w:val="center"/>
          </w:tcPr>
          <w:p>
            <w:pPr>
              <w:widowControl/>
              <w:spacing w:line="360" w:lineRule="auto"/>
              <w:jc w:val="center"/>
              <w:rPr>
                <w:rFonts w:ascii="宋体" w:hAnsi="宋体" w:cs="宋体"/>
                <w:szCs w:val="22"/>
              </w:rPr>
            </w:pPr>
            <w:r>
              <w:rPr>
                <w:rFonts w:hint="eastAsia" w:ascii="宋体" w:hAnsi="宋体" w:cs="宋体"/>
                <w:szCs w:val="22"/>
              </w:rPr>
              <w:t>联系方式</w:t>
            </w:r>
          </w:p>
        </w:tc>
        <w:tc>
          <w:tcPr>
            <w:tcW w:w="2073" w:type="dxa"/>
            <w:vAlign w:val="center"/>
          </w:tcPr>
          <w:p>
            <w:pPr>
              <w:widowControl/>
              <w:spacing w:line="360" w:lineRule="auto"/>
              <w:jc w:val="center"/>
              <w:rPr>
                <w:rFonts w:ascii="宋体" w:hAnsi="宋体" w:cs="宋体"/>
                <w:szCs w:val="22"/>
              </w:rPr>
            </w:pPr>
            <w:r>
              <w:rPr>
                <w:rFonts w:hint="eastAsia" w:ascii="宋体" w:hAnsi="宋体" w:cs="宋体"/>
                <w:szCs w:val="22"/>
              </w:rPr>
              <w:t>遴选文件</w:t>
            </w:r>
          </w:p>
          <w:p>
            <w:pPr>
              <w:widowControl/>
              <w:spacing w:line="360" w:lineRule="auto"/>
              <w:jc w:val="center"/>
              <w:rPr>
                <w:rFonts w:ascii="宋体" w:hAnsi="宋体" w:cs="宋体"/>
                <w:szCs w:val="22"/>
              </w:rPr>
            </w:pPr>
            <w:r>
              <w:rPr>
                <w:rFonts w:hint="eastAsia" w:ascii="宋体" w:hAnsi="宋体" w:cs="宋体"/>
                <w:szCs w:val="22"/>
              </w:rPr>
              <w:t>接收邮箱</w:t>
            </w:r>
          </w:p>
        </w:tc>
        <w:tc>
          <w:tcPr>
            <w:tcW w:w="1152" w:type="dxa"/>
            <w:vAlign w:val="center"/>
          </w:tcPr>
          <w:p>
            <w:pPr>
              <w:widowControl/>
              <w:spacing w:line="360" w:lineRule="auto"/>
              <w:jc w:val="center"/>
              <w:rPr>
                <w:rFonts w:ascii="宋体" w:hAnsi="宋体" w:cs="宋体"/>
                <w:szCs w:val="22"/>
              </w:rPr>
            </w:pPr>
            <w:r>
              <w:rPr>
                <w:rFonts w:hint="eastAsia" w:ascii="宋体" w:hAnsi="宋体" w:cs="宋体"/>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214" w:type="dxa"/>
          </w:tcPr>
          <w:p>
            <w:pPr>
              <w:widowControl/>
              <w:spacing w:line="360" w:lineRule="auto"/>
              <w:rPr>
                <w:rFonts w:ascii="宋体" w:hAnsi="宋体" w:cs="宋体"/>
                <w:szCs w:val="22"/>
              </w:rPr>
            </w:pPr>
          </w:p>
        </w:tc>
        <w:tc>
          <w:tcPr>
            <w:tcW w:w="1483" w:type="dxa"/>
          </w:tcPr>
          <w:p>
            <w:pPr>
              <w:pStyle w:val="11"/>
              <w:spacing w:line="360" w:lineRule="auto"/>
              <w:jc w:val="both"/>
              <w:rPr>
                <w:rFonts w:hint="default" w:ascii="宋体" w:hAnsi="宋体" w:eastAsia="宋体" w:cs="宋体"/>
                <w:color w:val="auto"/>
                <w:szCs w:val="22"/>
              </w:rPr>
            </w:pPr>
          </w:p>
        </w:tc>
        <w:tc>
          <w:tcPr>
            <w:tcW w:w="1483" w:type="dxa"/>
          </w:tcPr>
          <w:p>
            <w:pPr>
              <w:widowControl/>
              <w:spacing w:line="360" w:lineRule="auto"/>
            </w:pPr>
          </w:p>
          <w:p>
            <w:pPr>
              <w:pStyle w:val="11"/>
              <w:spacing w:line="360" w:lineRule="auto"/>
              <w:jc w:val="both"/>
              <w:rPr>
                <w:rFonts w:hint="default" w:ascii="宋体" w:hAnsi="宋体" w:eastAsia="宋体" w:cs="宋体"/>
                <w:color w:val="auto"/>
                <w:szCs w:val="22"/>
              </w:rPr>
            </w:pPr>
          </w:p>
          <w:p>
            <w:pPr>
              <w:pStyle w:val="11"/>
              <w:spacing w:line="360" w:lineRule="auto"/>
              <w:jc w:val="both"/>
              <w:rPr>
                <w:rFonts w:hint="default" w:ascii="宋体" w:hAnsi="宋体" w:eastAsia="宋体" w:cs="宋体"/>
                <w:color w:val="auto"/>
                <w:szCs w:val="22"/>
              </w:rPr>
            </w:pPr>
          </w:p>
        </w:tc>
        <w:tc>
          <w:tcPr>
            <w:tcW w:w="1309" w:type="dxa"/>
          </w:tcPr>
          <w:p>
            <w:pPr>
              <w:widowControl/>
              <w:spacing w:line="360" w:lineRule="auto"/>
              <w:rPr>
                <w:rFonts w:ascii="宋体" w:hAnsi="宋体" w:cs="宋体"/>
                <w:szCs w:val="22"/>
              </w:rPr>
            </w:pPr>
          </w:p>
        </w:tc>
        <w:tc>
          <w:tcPr>
            <w:tcW w:w="2073" w:type="dxa"/>
          </w:tcPr>
          <w:p>
            <w:pPr>
              <w:widowControl/>
              <w:spacing w:line="360" w:lineRule="auto"/>
              <w:rPr>
                <w:rFonts w:ascii="宋体" w:hAnsi="宋体" w:cs="宋体"/>
                <w:szCs w:val="22"/>
              </w:rPr>
            </w:pPr>
          </w:p>
        </w:tc>
        <w:tc>
          <w:tcPr>
            <w:tcW w:w="1152" w:type="dxa"/>
          </w:tcPr>
          <w:p>
            <w:pPr>
              <w:widowControl/>
              <w:spacing w:line="360" w:lineRule="auto"/>
              <w:rPr>
                <w:rFonts w:ascii="宋体" w:hAnsi="宋体" w:cs="宋体"/>
                <w:szCs w:val="22"/>
              </w:rPr>
            </w:pPr>
          </w:p>
        </w:tc>
      </w:tr>
    </w:tbl>
    <w:p>
      <w:pPr>
        <w:widowControl/>
        <w:spacing w:line="360" w:lineRule="auto"/>
        <w:rPr>
          <w:rFonts w:eastAsia="黑体"/>
          <w:szCs w:val="22"/>
        </w:rPr>
      </w:pPr>
    </w:p>
    <w:p>
      <w:pPr>
        <w:widowControl/>
        <w:spacing w:line="360" w:lineRule="auto"/>
      </w:pPr>
    </w:p>
    <w:p>
      <w:pPr>
        <w:pStyle w:val="11"/>
        <w:spacing w:line="360" w:lineRule="auto"/>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spacing w:line="360" w:lineRule="auto"/>
        <w:jc w:val="right"/>
        <w:rPr>
          <w:rFonts w:ascii="宋体" w:hAnsi="宋体"/>
          <w:bCs/>
          <w:sz w:val="28"/>
          <w:szCs w:val="28"/>
          <w:u w:val="single"/>
        </w:rPr>
      </w:pPr>
      <w:r>
        <w:rPr>
          <w:rFonts w:ascii="宋体" w:hAnsi="宋体"/>
          <w:bCs/>
          <w:sz w:val="28"/>
          <w:szCs w:val="28"/>
        </w:rPr>
        <w:t>联   系   人：</w:t>
      </w:r>
      <w:r>
        <w:rPr>
          <w:rFonts w:ascii="宋体" w:hAnsi="宋体"/>
          <w:bCs/>
          <w:sz w:val="28"/>
          <w:szCs w:val="28"/>
          <w:u w:val="single"/>
        </w:rPr>
        <w:t xml:space="preserve">             签字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01738"/>
    <w:rsid w:val="0DAC525D"/>
    <w:rsid w:val="18201D2F"/>
    <w:rsid w:val="19D44441"/>
    <w:rsid w:val="1C782E55"/>
    <w:rsid w:val="20101C1D"/>
    <w:rsid w:val="38305C31"/>
    <w:rsid w:val="3CBC3F6A"/>
    <w:rsid w:val="41A24ED0"/>
    <w:rsid w:val="4C4E3C36"/>
    <w:rsid w:val="5065120B"/>
    <w:rsid w:val="5E0A1174"/>
    <w:rsid w:val="67AD4986"/>
    <w:rsid w:val="6C6B5DF7"/>
    <w:rsid w:val="6D16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420" w:lineRule="atLeast"/>
      <w:jc w:val="center"/>
      <w:outlineLvl w:val="0"/>
    </w:pPr>
    <w:rPr>
      <w:rFonts w:ascii="Arial" w:hAnsi="Arial" w:eastAsia="宋体" w:cs="Times New Roman"/>
      <w:b/>
      <w:sz w:val="32"/>
    </w:rPr>
  </w:style>
  <w:style w:type="paragraph" w:styleId="3">
    <w:name w:val="Body Text Indent"/>
    <w:basedOn w:val="1"/>
    <w:next w:val="1"/>
    <w:qFormat/>
    <w:uiPriority w:val="0"/>
    <w:pPr>
      <w:spacing w:after="120"/>
      <w:ind w:left="420" w:leftChars="200"/>
    </w:pPr>
  </w:style>
  <w:style w:type="paragraph" w:styleId="4">
    <w:name w:val="footer"/>
    <w:basedOn w:val="1"/>
    <w:qFormat/>
    <w:uiPriority w:val="0"/>
    <w:pPr>
      <w:tabs>
        <w:tab w:val="center" w:pos="4153"/>
        <w:tab w:val="right" w:pos="8306"/>
      </w:tabs>
      <w:snapToGrid w:val="0"/>
      <w:spacing w:line="240" w:lineRule="atLeast"/>
    </w:pPr>
    <w:rPr>
      <w:sz w:val="18"/>
    </w:rPr>
  </w:style>
  <w:style w:type="paragraph" w:styleId="5">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6">
    <w:name w:val="Body Text First Indent 2"/>
    <w:basedOn w:val="3"/>
    <w:next w:val="1"/>
    <w:qFormat/>
    <w:uiPriority w:val="0"/>
    <w:pPr>
      <w:ind w:firstLine="420" w:firstLineChars="200"/>
    </w:pPr>
    <w:rPr>
      <w:szCs w:val="24"/>
    </w:rPr>
  </w:style>
  <w:style w:type="paragraph" w:customStyle="1" w:styleId="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font01"/>
    <w:basedOn w:val="8"/>
    <w:qFormat/>
    <w:uiPriority w:val="0"/>
    <w:rPr>
      <w:rFonts w:hint="eastAsia" w:ascii="宋体" w:hAnsi="宋体" w:eastAsia="宋体" w:cs="宋体"/>
      <w:color w:val="000000"/>
      <w:sz w:val="18"/>
      <w:szCs w:val="18"/>
      <w:u w:val="none"/>
    </w:r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2022-09-22T11:20:00Z</dcterms:created>
  <dc:creator>Lenovo</dc:creator>
  <cp:lastModifiedBy>清水连</cp:lastModifiedBy>
  <dcterms:modified xsi:type="dcterms:W3CDTF">2022-09-30T11:00:58Z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