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宋体"/>
          <w:b/>
          <w:bCs/>
          <w:lang w:val="en-US" w:eastAsia="zh-CN"/>
        </w:rPr>
      </w:pPr>
      <w:bookmarkStart w:id="0" w:name="_Toc22389"/>
      <w:bookmarkStart w:id="1" w:name="_Toc13701"/>
      <w:r>
        <w:rPr>
          <w:rFonts w:hint="eastAsia"/>
          <w:b/>
          <w:bCs/>
        </w:rPr>
        <w:t>附</w:t>
      </w:r>
      <w:bookmarkEnd w:id="0"/>
      <w:bookmarkEnd w:id="1"/>
      <w:r>
        <w:rPr>
          <w:rFonts w:hint="eastAsia"/>
          <w:b/>
          <w:bCs/>
          <w:lang w:val="en-US" w:eastAsia="zh-CN"/>
        </w:rPr>
        <w:t>件1</w:t>
      </w:r>
    </w:p>
    <w:p>
      <w:pPr>
        <w:snapToGrid w:val="0"/>
        <w:spacing w:line="360" w:lineRule="auto"/>
        <w:jc w:val="center"/>
        <w:rPr>
          <w:rFonts w:eastAsia="黑体"/>
        </w:rPr>
      </w:pPr>
    </w:p>
    <w:p>
      <w:pPr>
        <w:snapToGrid w:val="0"/>
        <w:spacing w:line="360" w:lineRule="auto"/>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360" w:lineRule="auto"/>
      </w:pPr>
    </w:p>
    <w:tbl>
      <w:tblPr>
        <w:tblStyle w:val="7"/>
        <w:tblW w:w="7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449" w:type="dxa"/>
            <w:vAlign w:val="center"/>
          </w:tcPr>
          <w:p>
            <w:pPr>
              <w:keepNext w:val="0"/>
              <w:keepLines w:val="0"/>
              <w:suppressLineNumbers w:val="0"/>
              <w:snapToGrid w:val="0"/>
              <w:spacing w:before="0" w:beforeAutospacing="0" w:after="0" w:afterAutospacing="0" w:line="360" w:lineRule="auto"/>
              <w:ind w:left="0" w:right="0"/>
              <w:jc w:val="center"/>
              <w:rPr>
                <w:rFonts w:hint="eastAsia" w:eastAsia="宋体"/>
                <w:lang w:val="en-US" w:eastAsia="zh-CN"/>
              </w:rPr>
            </w:pPr>
            <w:r>
              <w:rPr>
                <w:rFonts w:hint="eastAsia"/>
                <w:lang w:val="en-US" w:eastAsia="zh-CN"/>
              </w:rPr>
              <w:t>合同包</w:t>
            </w:r>
          </w:p>
        </w:tc>
        <w:tc>
          <w:tcPr>
            <w:tcW w:w="6405" w:type="dxa"/>
            <w:vAlign w:val="center"/>
          </w:tcPr>
          <w:p>
            <w:pPr>
              <w:keepNext w:val="0"/>
              <w:keepLines w:val="0"/>
              <w:suppressLineNumbers w:val="0"/>
              <w:snapToGrid w:val="0"/>
              <w:spacing w:before="0" w:beforeAutospacing="0" w:after="0" w:afterAutospacing="0" w:line="360" w:lineRule="auto"/>
              <w:ind w:left="0" w:right="0"/>
              <w:jc w:val="center"/>
              <w:rPr>
                <w:rFonts w:hint="default"/>
              </w:rPr>
            </w:pPr>
            <w:r>
              <w:rPr>
                <w:rFonts w:hint="default"/>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4" w:hRule="atLeast"/>
          <w:jc w:val="center"/>
        </w:trPr>
        <w:tc>
          <w:tcPr>
            <w:tcW w:w="1449"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lang w:val="en-US" w:eastAsia="zh-CN"/>
              </w:rPr>
            </w:pPr>
            <w:r>
              <w:rPr>
                <w:rFonts w:hint="eastAsia" w:cs="Times New Roman"/>
                <w:b w:val="0"/>
                <w:bCs w:val="0"/>
                <w:color w:val="auto"/>
                <w:lang w:val="en-US" w:eastAsia="zh-CN"/>
              </w:rPr>
              <w:t>所有合同包</w:t>
            </w:r>
          </w:p>
        </w:tc>
        <w:tc>
          <w:tcPr>
            <w:tcW w:w="6405" w:type="dxa"/>
            <w:vAlign w:val="center"/>
          </w:tcPr>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同时具备：</w:t>
            </w:r>
          </w:p>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1、独立企业法人资格；</w:t>
            </w:r>
          </w:p>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2、为所采购</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制造厂商或采购</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制造厂商的授权经销商/代理商(提供进口</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的应为该车辆进口商或该</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进口商的授权经销商/代理商) ；</w:t>
            </w:r>
          </w:p>
          <w:p>
            <w:pPr>
              <w:keepNext w:val="0"/>
              <w:keepLines w:val="0"/>
              <w:widowControl/>
              <w:suppressLineNumbers w:val="0"/>
              <w:spacing w:before="0" w:beforeAutospacing="0" w:after="0" w:afterAutospacing="0" w:line="480" w:lineRule="exact"/>
              <w:ind w:left="0" w:right="0"/>
              <w:jc w:val="left"/>
              <w:rPr>
                <w:rFonts w:hint="default"/>
                <w:color w:val="auto"/>
                <w:kern w:val="0"/>
                <w:lang w:bidi="ar"/>
              </w:rPr>
            </w:pPr>
            <w:r>
              <w:rPr>
                <w:rFonts w:hint="default" w:ascii="Times New Roman" w:hAnsi="Times New Roman" w:cs="Times New Roman"/>
                <w:color w:val="auto"/>
                <w:kern w:val="0"/>
                <w:sz w:val="24"/>
                <w:szCs w:val="24"/>
                <w:lang w:bidi="ar"/>
              </w:rPr>
              <w:t>3、如</w:t>
            </w:r>
            <w:r>
              <w:rPr>
                <w:rFonts w:hint="eastAsia" w:cs="Times New Roman"/>
                <w:color w:val="auto"/>
                <w:kern w:val="0"/>
                <w:sz w:val="24"/>
                <w:szCs w:val="24"/>
                <w:lang w:eastAsia="zh-CN" w:bidi="ar"/>
              </w:rPr>
              <w:t>申请人</w:t>
            </w:r>
            <w:r>
              <w:rPr>
                <w:rFonts w:hint="default" w:ascii="Times New Roman" w:hAnsi="Times New Roman" w:cs="Times New Roman"/>
                <w:color w:val="auto"/>
                <w:kern w:val="0"/>
                <w:sz w:val="24"/>
                <w:szCs w:val="24"/>
                <w:lang w:bidi="ar"/>
              </w:rPr>
              <w:t>为授权经销商/代理商应提供制造厂商出具的</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品牌经销商授权书。</w: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widowControl/>
              <w:suppressLineNumbers w:val="0"/>
              <w:spacing w:before="0" w:beforeAutospacing="0" w:after="0" w:afterAutospacing="0" w:line="360" w:lineRule="auto"/>
              <w:ind w:left="0" w:right="0"/>
              <w:rPr>
                <w:rFonts w:hint="default"/>
              </w:rPr>
            </w:pP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p>
      <w:pPr>
        <w:snapToGrid w:val="0"/>
        <w:spacing w:line="360" w:lineRule="auto"/>
      </w:pPr>
    </w:p>
    <w:tbl>
      <w:tblPr>
        <w:tblStyle w:val="7"/>
        <w:tblW w:w="7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62" w:type="dxa"/>
            <w:vAlign w:val="center"/>
          </w:tcPr>
          <w:p>
            <w:pPr>
              <w:keepNext w:val="0"/>
              <w:keepLines w:val="0"/>
              <w:suppressLineNumbers w:val="0"/>
              <w:snapToGrid w:val="0"/>
              <w:spacing w:before="0" w:beforeAutospacing="0" w:after="0" w:afterAutospacing="0" w:line="360" w:lineRule="auto"/>
              <w:ind w:left="0" w:right="0"/>
              <w:jc w:val="center"/>
              <w:rPr>
                <w:rFonts w:hint="default" w:eastAsia="宋体"/>
                <w:lang w:val="en-US" w:eastAsia="zh-CN"/>
              </w:rPr>
            </w:pPr>
            <w:r>
              <w:rPr>
                <w:rFonts w:hint="eastAsia"/>
                <w:lang w:val="en-US" w:eastAsia="zh-CN"/>
              </w:rPr>
              <w:t>合同包</w:t>
            </w:r>
          </w:p>
        </w:tc>
        <w:tc>
          <w:tcPr>
            <w:tcW w:w="6072" w:type="dxa"/>
            <w:vAlign w:val="center"/>
          </w:tcPr>
          <w:p>
            <w:pPr>
              <w:keepNext w:val="0"/>
              <w:keepLines w:val="0"/>
              <w:suppressLineNumbers w:val="0"/>
              <w:snapToGrid w:val="0"/>
              <w:spacing w:before="0" w:beforeAutospacing="0" w:after="0" w:afterAutospacing="0" w:line="360" w:lineRule="auto"/>
              <w:ind w:left="0" w:right="0"/>
              <w:jc w:val="center"/>
              <w:rPr>
                <w:rFonts w:hint="default"/>
              </w:rPr>
            </w:pPr>
            <w:r>
              <w:rPr>
                <w:rFonts w:hint="default"/>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eastAsia"/>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1包</w:t>
            </w:r>
          </w:p>
        </w:tc>
        <w:tc>
          <w:tcPr>
            <w:tcW w:w="6072" w:type="dxa"/>
            <w:vAlign w:val="center"/>
          </w:tcPr>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eastAsia"/>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2包</w:t>
            </w:r>
          </w:p>
        </w:tc>
        <w:tc>
          <w:tcPr>
            <w:tcW w:w="6072" w:type="dxa"/>
            <w:vAlign w:val="center"/>
          </w:tcPr>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eastAsia"/>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3包</w:t>
            </w:r>
          </w:p>
        </w:tc>
        <w:tc>
          <w:tcPr>
            <w:tcW w:w="6072" w:type="dxa"/>
            <w:vAlign w:val="center"/>
          </w:tcPr>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default" w:eastAsia="宋体"/>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4包</w:t>
            </w:r>
          </w:p>
        </w:tc>
        <w:tc>
          <w:tcPr>
            <w:tcW w:w="6072" w:type="dxa"/>
            <w:vAlign w:val="center"/>
          </w:tcPr>
          <w:p>
            <w:pPr>
              <w:keepNext w:val="0"/>
              <w:keepLines w:val="0"/>
              <w:suppressLineNumbers w:val="0"/>
              <w:spacing w:before="0" w:beforeAutospacing="0" w:after="0" w:afterAutospacing="0"/>
              <w:ind w:left="0" w:right="0"/>
              <w:rPr>
                <w:rFonts w:hint="default"/>
              </w:rPr>
            </w:pPr>
          </w:p>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应附经会计师事务所或审计机构审计的财务会计报表，包括资产负债表、现金流量表、利润表的复印件</w:t>
      </w:r>
      <w:r>
        <w:rPr>
          <w:rFonts w:hint="eastAsia" w:eastAsia="黑体"/>
          <w:sz w:val="21"/>
          <w:szCs w:val="24"/>
        </w:rPr>
        <w:t>；公司成立时间不足三年的提供自公司成立以来的会计报表。若最近年度会计报表未出，则近三年时间往前推算一年。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w:t>
      </w:r>
    </w:p>
    <w:p>
      <w:pPr>
        <w:snapToGrid w:val="0"/>
        <w:spacing w:line="360" w:lineRule="auto"/>
        <w:rPr>
          <w:rFonts w:eastAsia="黑体"/>
        </w:rPr>
      </w:pPr>
    </w:p>
    <w:p>
      <w:pPr>
        <w:snapToGrid w:val="0"/>
        <w:spacing w:line="360" w:lineRule="auto"/>
        <w:rPr>
          <w:rFonts w:eastAsia="黑体"/>
        </w:rPr>
      </w:pPr>
    </w:p>
    <w:p>
      <w:pPr>
        <w:snapToGrid w:val="0"/>
        <w:spacing w:line="360" w:lineRule="auto"/>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360" w:lineRule="auto"/>
        <w:jc w:val="center"/>
        <w:rPr>
          <w:rFonts w:eastAsia="黑体"/>
        </w:rPr>
      </w:pPr>
    </w:p>
    <w:tbl>
      <w:tblPr>
        <w:tblStyle w:val="7"/>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78"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6866"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78"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jc w:val="center"/>
              <w:rPr>
                <w:rFonts w:hint="default" w:ascii="Times New Roman" w:hAnsi="Times New Roman" w:cs="Times New Roman"/>
                <w:color w:val="auto"/>
                <w:lang w:val="en-US"/>
              </w:rPr>
            </w:pPr>
            <w:r>
              <w:rPr>
                <w:rFonts w:hint="eastAsia" w:cs="Times New Roman"/>
                <w:color w:val="auto"/>
                <w:lang w:val="en-US" w:eastAsia="zh-CN"/>
              </w:rPr>
              <w:t>所有合同包</w:t>
            </w:r>
          </w:p>
        </w:tc>
        <w:tc>
          <w:tcPr>
            <w:tcW w:w="6866"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rPr>
                <w:rFonts w:hint="default" w:ascii="Times New Roman" w:hAnsi="Times New Roman" w:cs="Times New Roman"/>
                <w:color w:val="auto"/>
                <w:sz w:val="28"/>
                <w:szCs w:val="28"/>
              </w:rPr>
            </w:pPr>
            <w:r>
              <w:rPr>
                <w:rFonts w:hint="default" w:ascii="Times New Roman" w:hAnsi="Times New Roman"/>
                <w:color w:val="auto"/>
                <w:kern w:val="0"/>
                <w:sz w:val="24"/>
                <w:szCs w:val="24"/>
                <w:lang w:bidi="ar"/>
              </w:rPr>
              <w:t>近 5 年</w:t>
            </w:r>
            <w:r>
              <w:rPr>
                <w:rFonts w:hint="eastAsia" w:ascii="Times New Roman" w:hAnsi="Times New Roman"/>
                <w:color w:val="auto"/>
                <w:kern w:val="0"/>
                <w:sz w:val="24"/>
                <w:szCs w:val="24"/>
                <w:lang w:bidi="ar"/>
              </w:rPr>
              <w:t>累计销售与拟供本项目的车辆</w:t>
            </w:r>
            <w:r>
              <w:rPr>
                <w:rFonts w:hint="default" w:ascii="Times New Roman" w:hAnsi="Times New Roman"/>
                <w:color w:val="auto"/>
                <w:kern w:val="0"/>
                <w:sz w:val="24"/>
                <w:szCs w:val="24"/>
                <w:lang w:bidi="ar"/>
              </w:rPr>
              <w:t>同同规格的车辆数量</w:t>
            </w:r>
            <w:r>
              <w:rPr>
                <w:rFonts w:hint="eastAsia" w:ascii="Times New Roman" w:hAnsi="Times New Roman"/>
                <w:color w:val="auto"/>
                <w:kern w:val="0"/>
                <w:sz w:val="24"/>
                <w:szCs w:val="24"/>
                <w:lang w:bidi="ar"/>
              </w:rPr>
              <w:t>分别</w:t>
            </w:r>
            <w:r>
              <w:rPr>
                <w:rFonts w:hint="default" w:ascii="Times New Roman" w:hAnsi="Times New Roman"/>
                <w:color w:val="auto"/>
                <w:kern w:val="0"/>
                <w:sz w:val="24"/>
                <w:szCs w:val="24"/>
                <w:lang w:bidi="ar"/>
              </w:rPr>
              <w:t>不少于</w:t>
            </w:r>
            <w:r>
              <w:rPr>
                <w:rFonts w:hint="eastAsia"/>
                <w:color w:val="auto"/>
                <w:kern w:val="0"/>
                <w:sz w:val="24"/>
                <w:szCs w:val="24"/>
                <w:lang w:val="en-US" w:eastAsia="zh-CN" w:bidi="ar"/>
              </w:rPr>
              <w:t>遴选</w:t>
            </w:r>
            <w:r>
              <w:rPr>
                <w:rFonts w:hint="default" w:ascii="Times New Roman" w:hAnsi="Times New Roman"/>
                <w:color w:val="auto"/>
                <w:kern w:val="0"/>
                <w:sz w:val="24"/>
                <w:szCs w:val="24"/>
                <w:lang w:bidi="ar"/>
              </w:rPr>
              <w:t>公告附件2</w:t>
            </w:r>
            <w:r>
              <w:rPr>
                <w:rFonts w:hint="eastAsia" w:ascii="Times New Roman" w:hAnsi="Times New Roman"/>
                <w:color w:val="auto"/>
                <w:kern w:val="0"/>
                <w:sz w:val="24"/>
                <w:szCs w:val="24"/>
                <w:lang w:bidi="ar"/>
              </w:rPr>
              <w:t>中</w:t>
            </w:r>
            <w:r>
              <w:rPr>
                <w:rFonts w:hint="default" w:ascii="Times New Roman" w:hAnsi="Times New Roman"/>
                <w:color w:val="auto"/>
                <w:kern w:val="0"/>
                <w:sz w:val="24"/>
                <w:szCs w:val="24"/>
                <w:lang w:bidi="ar"/>
              </w:rPr>
              <w:t>规定的</w:t>
            </w:r>
            <w:r>
              <w:rPr>
                <w:rFonts w:hint="eastAsia" w:ascii="Times New Roman" w:hAnsi="Times New Roman"/>
                <w:color w:val="auto"/>
                <w:kern w:val="0"/>
                <w:sz w:val="24"/>
                <w:szCs w:val="24"/>
                <w:lang w:bidi="ar"/>
              </w:rPr>
              <w:t>各车型业绩要求最低</w:t>
            </w:r>
            <w:r>
              <w:rPr>
                <w:rFonts w:hint="default" w:ascii="Times New Roman" w:hAnsi="Times New Roman"/>
                <w:color w:val="auto"/>
                <w:kern w:val="0"/>
                <w:sz w:val="24"/>
                <w:szCs w:val="24"/>
                <w:lang w:bidi="ar"/>
              </w:rPr>
              <w:t>数量。</w:t>
            </w:r>
          </w:p>
        </w:tc>
      </w:tr>
    </w:tbl>
    <w:p>
      <w:pPr>
        <w:pStyle w:val="9"/>
        <w:spacing w:line="360" w:lineRule="auto"/>
        <w:rPr>
          <w:rFonts w:eastAsia="黑体"/>
          <w:kern w:val="0"/>
        </w:rPr>
      </w:pPr>
    </w:p>
    <w:p>
      <w:pPr>
        <w:pStyle w:val="9"/>
        <w:spacing w:line="360" w:lineRule="auto"/>
        <w:rPr>
          <w:rFonts w:eastAsia="黑体"/>
          <w:kern w:val="0"/>
        </w:rPr>
      </w:pPr>
      <w:r>
        <w:rPr>
          <w:rFonts w:eastAsia="黑体"/>
          <w:kern w:val="0"/>
        </w:rPr>
        <w:t>注：</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pStyle w:val="9"/>
        <w:spacing w:line="360" w:lineRule="auto"/>
        <w:rPr>
          <w:rFonts w:eastAsia="黑体"/>
          <w:kern w:val="0"/>
          <w:highlight w:val="none"/>
        </w:rPr>
      </w:pPr>
    </w:p>
    <w:p>
      <w:pPr>
        <w:pStyle w:val="9"/>
        <w:spacing w:line="360" w:lineRule="auto"/>
        <w:rPr>
          <w:rFonts w:eastAsia="黑体"/>
          <w:kern w:val="0"/>
          <w:highlight w:val="none"/>
        </w:rPr>
      </w:pPr>
    </w:p>
    <w:p>
      <w:pPr>
        <w:pStyle w:val="9"/>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360" w:lineRule="auto"/>
        <w:rPr>
          <w:bCs/>
        </w:rPr>
      </w:pPr>
    </w:p>
    <w:tbl>
      <w:tblPr>
        <w:tblStyle w:val="7"/>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61"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212"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5" w:hRule="atLeast"/>
          <w:jc w:val="center"/>
        </w:trPr>
        <w:tc>
          <w:tcPr>
            <w:tcW w:w="1661"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jc w:val="center"/>
              <w:rPr>
                <w:rFonts w:hint="default" w:ascii="Times New Roman" w:hAnsi="Times New Roman" w:cs="Times New Roman"/>
                <w:color w:val="auto"/>
                <w:lang w:val="en-US"/>
              </w:rPr>
            </w:pPr>
            <w:r>
              <w:rPr>
                <w:rFonts w:hint="eastAsia" w:cs="Times New Roman"/>
                <w:color w:val="auto"/>
                <w:lang w:val="en-US" w:eastAsia="zh-CN"/>
              </w:rPr>
              <w:t>所有合同包</w:t>
            </w:r>
          </w:p>
        </w:tc>
        <w:tc>
          <w:tcPr>
            <w:tcW w:w="7212" w:type="dxa"/>
            <w:noWrap w:val="0"/>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w:t>
            </w:r>
            <w:r>
              <w:rPr>
                <w:rFonts w:hint="eastAsia"/>
                <w:szCs w:val="22"/>
              </w:rPr>
              <w:t>招投标</w:t>
            </w:r>
            <w:r>
              <w:rPr>
                <w:szCs w:val="22"/>
              </w:rPr>
              <w:t>的；</w:t>
            </w:r>
          </w:p>
          <w:p>
            <w:pPr>
              <w:pStyle w:val="5"/>
              <w:adjustRightInd w:val="0"/>
              <w:snapToGrid w:val="0"/>
              <w:spacing w:before="0" w:beforeAutospacing="0" w:after="0" w:afterAutospacing="0" w:line="360" w:lineRule="auto"/>
              <w:jc w:val="both"/>
              <w:rPr>
                <w:lang w:bidi="ar"/>
              </w:rPr>
            </w:pPr>
            <w:r>
              <w:rPr>
                <w:szCs w:val="22"/>
                <w:lang w:bidi="ar"/>
              </w:rPr>
              <w:t>（5）</w:t>
            </w:r>
            <w:r>
              <w:rPr>
                <w:lang w:bidi="ar"/>
              </w:rPr>
              <w:t>上一年度被列入</w:t>
            </w:r>
            <w:r>
              <w:rPr>
                <w:rFonts w:hint="eastAsia"/>
                <w:lang w:val="en-US" w:eastAsia="zh-CN" w:bidi="ar"/>
              </w:rPr>
              <w:t>湖北省高速公路实业开发有限公司</w:t>
            </w:r>
            <w:r>
              <w:rPr>
                <w:rFonts w:hint="eastAsia"/>
                <w:lang w:bidi="ar"/>
              </w:rPr>
              <w:t>考核不合格</w:t>
            </w:r>
            <w:r>
              <w:rPr>
                <w:lang w:bidi="ar"/>
              </w:rPr>
              <w:t>的协作单位；</w:t>
            </w:r>
          </w:p>
          <w:p>
            <w:pPr>
              <w:pStyle w:val="5"/>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00" w:lineRule="exact"/>
              <w:ind w:left="0" w:right="0"/>
              <w:jc w:val="left"/>
              <w:rPr>
                <w:rFonts w:hint="default" w:ascii="Times New Roman" w:hAnsi="Times New Roman" w:cs="Times New Roman"/>
                <w:color w:val="auto"/>
              </w:rPr>
            </w:pPr>
            <w:r>
              <w:rPr>
                <w:lang w:bidi="ar"/>
              </w:rPr>
              <w:t>（6）近三年度被列入</w:t>
            </w:r>
            <w:r>
              <w:rPr>
                <w:rFonts w:hint="eastAsia"/>
                <w:lang w:val="en-US" w:eastAsia="zh-CN" w:bidi="ar"/>
              </w:rPr>
              <w:t>湖北省高速公路实业开发有限公司</w:t>
            </w:r>
            <w:r>
              <w:rPr>
                <w:rFonts w:hint="eastAsia"/>
                <w:lang w:bidi="ar"/>
              </w:rPr>
              <w:t>黑名单</w:t>
            </w:r>
            <w:r>
              <w:rPr>
                <w:lang w:bidi="ar"/>
              </w:rPr>
              <w:t>的协作单位。</w:t>
            </w:r>
          </w:p>
        </w:tc>
      </w:tr>
    </w:tbl>
    <w:p>
      <w:pPr>
        <w:snapToGrid w:val="0"/>
        <w:spacing w:line="360" w:lineRule="auto"/>
        <w:rPr>
          <w:rFonts w:eastAsia="黑体"/>
          <w:sz w:val="21"/>
          <w:szCs w:val="21"/>
        </w:rPr>
      </w:pPr>
    </w:p>
    <w:p>
      <w:pPr>
        <w:snapToGrid w:val="0"/>
        <w:spacing w:line="360" w:lineRule="auto"/>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人对以上（1）、（2）、（4）信用状况如遴选文件有</w:t>
      </w:r>
      <w:r>
        <w:rPr>
          <w:rFonts w:hint="default" w:eastAsia="黑体"/>
          <w:sz w:val="21"/>
          <w:szCs w:val="21"/>
          <w:lang w:val="en-US" w:eastAsia="zh-CN"/>
        </w:rPr>
        <w:t>要求</w:t>
      </w:r>
      <w:r>
        <w:rPr>
          <w:rFonts w:eastAsia="黑体"/>
          <w:sz w:val="21"/>
          <w:szCs w:val="21"/>
        </w:rPr>
        <w:t>，应附指定网站截图，截图时间为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pStyle w:val="6"/>
        <w:spacing w:after="0" w:line="360" w:lineRule="auto"/>
        <w:ind w:left="480" w:firstLine="480"/>
      </w:pPr>
    </w:p>
    <w:p>
      <w:pPr>
        <w:widowControl/>
        <w:spacing w:line="240" w:lineRule="auto"/>
        <w:rPr>
          <w:rFonts w:hint="eastAsia" w:eastAsia="黑体"/>
          <w:szCs w:val="22"/>
          <w:lang w:val="en-US" w:eastAsia="zh-CN"/>
        </w:rPr>
      </w:pPr>
      <w:r>
        <w:rPr>
          <w:rFonts w:eastAsia="黑体"/>
        </w:rPr>
        <w:br w:type="page"/>
      </w:r>
      <w:r>
        <w:rPr>
          <w:rFonts w:eastAsia="黑体"/>
          <w:szCs w:val="22"/>
        </w:rPr>
        <w:t>附件</w:t>
      </w:r>
      <w:r>
        <w:rPr>
          <w:rFonts w:hint="eastAsia" w:eastAsia="黑体"/>
          <w:szCs w:val="22"/>
          <w:lang w:val="en-US" w:eastAsia="zh-CN"/>
        </w:rPr>
        <w:t>2</w:t>
      </w:r>
    </w:p>
    <w:p>
      <w:pPr>
        <w:snapToGrid w:val="0"/>
        <w:spacing w:line="360" w:lineRule="auto"/>
        <w:jc w:val="center"/>
        <w:rPr>
          <w:rFonts w:eastAsia="黑体"/>
          <w:b/>
          <w:bCs/>
          <w:sz w:val="32"/>
          <w:szCs w:val="32"/>
        </w:rPr>
      </w:pPr>
      <w:r>
        <w:rPr>
          <w:rFonts w:ascii="宋体" w:hAnsi="宋体" w:eastAsia="宋体" w:cs="宋体"/>
          <w:b/>
          <w:bCs/>
          <w:sz w:val="32"/>
          <w:szCs w:val="32"/>
          <w:highlight w:val="none"/>
          <w:lang w:bidi="ar"/>
        </w:rPr>
        <w:t>采购的设备类型、技术参数、数量</w:t>
      </w:r>
    </w:p>
    <w:p>
      <w:pPr>
        <w:spacing w:line="240" w:lineRule="auto"/>
        <w:ind w:firstLine="0" w:firstLineChars="0"/>
        <w:jc w:val="center"/>
        <w:rPr>
          <w:rFonts w:hint="eastAsia" w:eastAsia="黑体"/>
          <w:lang w:val="en-US" w:eastAsia="zh-CN"/>
        </w:rPr>
      </w:pPr>
      <w:r>
        <w:rPr>
          <w:rFonts w:hint="eastAsia" w:eastAsia="黑体"/>
          <w:sz w:val="28"/>
          <w:szCs w:val="28"/>
          <w:lang w:val="en-US" w:eastAsia="zh-CN"/>
        </w:rPr>
        <w:t>第1合同包</w:t>
      </w:r>
    </w:p>
    <w:tbl>
      <w:tblPr>
        <w:tblStyle w:val="7"/>
        <w:tblW w:w="9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25"/>
        <w:gridCol w:w="4846"/>
        <w:gridCol w:w="810"/>
        <w:gridCol w:w="1254"/>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序号</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车辆参数要求</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数量（台）</w:t>
            </w:r>
          </w:p>
        </w:tc>
        <w:tc>
          <w:tcPr>
            <w:tcW w:w="1254"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bidi="ar"/>
              </w:rPr>
            </w:pPr>
            <w:r>
              <w:rPr>
                <w:rFonts w:hint="eastAsia" w:ascii="宋体" w:hAnsi="宋体" w:cs="宋体"/>
                <w:b/>
                <w:bCs/>
                <w:color w:val="auto"/>
                <w:kern w:val="0"/>
                <w:sz w:val="18"/>
                <w:szCs w:val="18"/>
                <w:lang w:bidi="ar"/>
              </w:rPr>
              <w:t>业绩要求最低数量(台)</w:t>
            </w:r>
          </w:p>
        </w:tc>
        <w:tc>
          <w:tcPr>
            <w:tcW w:w="8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eastAsia="zh-CN" w:bidi="ar"/>
              </w:rPr>
            </w:pPr>
            <w:r>
              <w:rPr>
                <w:rFonts w:hint="eastAsia" w:ascii="宋体" w:hAnsi="宋体" w:eastAsia="宋体" w:cs="宋体"/>
                <w:b/>
                <w:bCs/>
                <w:color w:val="auto"/>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1</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双排栏板车</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（一）整车</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1、载货汽车；</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2、国家工业和信息化部《道路机动车辆生产企业及产品公告》公告产品；</w:t>
            </w:r>
          </w:p>
          <w:p>
            <w:pPr>
              <w:keepNext w:val="0"/>
              <w:keepLines w:val="0"/>
              <w:widowControl/>
              <w:suppressLineNumbers w:val="0"/>
              <w:jc w:val="left"/>
              <w:textAlignment w:val="center"/>
              <w:rPr>
                <w:rStyle w:val="10"/>
                <w:color w:val="auto"/>
                <w:lang w:val="en-US" w:eastAsia="zh-CN" w:bidi="ar"/>
              </w:rPr>
            </w:pPr>
            <w:r>
              <w:rPr>
                <w:rFonts w:hint="eastAsia" w:ascii="宋体" w:hAnsi="宋体" w:eastAsia="宋体" w:cs="宋体"/>
                <w:i w:val="0"/>
                <w:iCs w:val="0"/>
                <w:color w:val="auto"/>
                <w:kern w:val="0"/>
                <w:sz w:val="18"/>
                <w:szCs w:val="18"/>
                <w:u w:val="none"/>
                <w:lang w:val="en-US" w:eastAsia="zh-CN" w:bidi="ar"/>
              </w:rPr>
              <w:t>3、总质量(kg)：＜4500</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★4、额定质量(kg)：≤1600；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5、外形尺寸（长/宽/高）(mm):≥5950×1940×2300;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★6、货厢尺寸（长/宽/高）(mm)：≥3130×1850×380；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7、驾驶室型式及准乘人数(人)：</w:t>
            </w:r>
            <w:r>
              <w:rPr>
                <w:rFonts w:hint="eastAsia" w:ascii="宋体" w:hAnsi="宋体" w:eastAsia="宋体" w:cs="宋体"/>
                <w:i w:val="0"/>
                <w:iCs w:val="0"/>
                <w:color w:val="auto"/>
                <w:kern w:val="0"/>
                <w:sz w:val="18"/>
                <w:szCs w:val="18"/>
                <w:u w:val="none"/>
                <w:lang w:val="en-US" w:eastAsia="zh-CN" w:bidi="ar"/>
              </w:rPr>
              <w:t>双排，≥5人</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8、整车含牌照费、附加费、运费；</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9、设备工作条件：环境温度-35。C～45。C</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10、车身颜色：黄</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11、质量保证期：3年或6万公里。</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（二）底盘</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★9、发动机功率（kw）:≥88;</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10、燃料种类：柴油；</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11、排放依据标准：GB17691-2018国Ⅵ；</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12、</w:t>
            </w:r>
            <w:r>
              <w:rPr>
                <w:rFonts w:hint="eastAsia" w:ascii="宋体" w:hAnsi="宋体" w:eastAsia="宋体" w:cs="宋体"/>
                <w:i w:val="0"/>
                <w:iCs w:val="0"/>
                <w:color w:val="auto"/>
                <w:kern w:val="0"/>
                <w:sz w:val="18"/>
                <w:szCs w:val="18"/>
                <w:u w:val="none"/>
                <w:lang w:val="en-US" w:eastAsia="zh-CN" w:bidi="ar"/>
              </w:rPr>
              <w:t>排量≤2.5</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13、</w:t>
            </w:r>
            <w:r>
              <w:rPr>
                <w:rFonts w:hint="eastAsia" w:ascii="宋体" w:hAnsi="宋体" w:eastAsia="宋体" w:cs="宋体"/>
                <w:i w:val="0"/>
                <w:iCs w:val="0"/>
                <w:color w:val="auto"/>
                <w:kern w:val="0"/>
                <w:sz w:val="18"/>
                <w:szCs w:val="18"/>
                <w:u w:val="none"/>
                <w:lang w:val="en-US" w:eastAsia="zh-CN" w:bidi="ar"/>
              </w:rPr>
              <w:t>变速箱5MT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14、轴数：≥2，</w:t>
            </w:r>
            <w:r>
              <w:rPr>
                <w:rFonts w:hint="eastAsia" w:ascii="宋体" w:hAnsi="宋体" w:eastAsia="宋体" w:cs="宋体"/>
                <w:i w:val="0"/>
                <w:iCs w:val="0"/>
                <w:color w:val="auto"/>
                <w:kern w:val="0"/>
                <w:sz w:val="18"/>
                <w:szCs w:val="18"/>
                <w:u w:val="none"/>
                <w:lang w:val="en-US" w:eastAsia="zh-CN" w:bidi="ar"/>
              </w:rPr>
              <w:t>轴距≥3300mm</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16、轮胎数：≥6；</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★17、轮胎规格：7.00R16LT 8PR；</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18、前悬/后悬：1015/1515</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19、最高车速(km/h)：≥100；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20、刹车系统：ABS；</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（三）功能配置</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Style w:val="10"/>
                <w:color w:val="auto"/>
                <w:lang w:val="en-US" w:eastAsia="zh-CN" w:bidi="ar"/>
              </w:rPr>
              <w:t>21、空调、无死角后视镜、中控锁电动车窗、方向盘转向助力。</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4</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18"/>
                <w:szCs w:val="18"/>
                <w:lang w:val="en-US" w:eastAsia="zh-CN"/>
              </w:rPr>
            </w:pPr>
            <w:r>
              <w:rPr>
                <w:rFonts w:hint="eastAsia" w:ascii="宋体" w:hAnsi="宋体" w:cs="宋体"/>
                <w:color w:val="auto"/>
                <w:kern w:val="0"/>
                <w:sz w:val="18"/>
                <w:szCs w:val="18"/>
                <w:lang w:eastAsia="zh-CN"/>
              </w:rPr>
              <w:t>1</w:t>
            </w:r>
            <w:r>
              <w:rPr>
                <w:rFonts w:hint="eastAsia" w:ascii="宋体" w:hAnsi="宋体" w:cs="宋体"/>
                <w:color w:val="auto"/>
                <w:kern w:val="0"/>
                <w:sz w:val="18"/>
                <w:szCs w:val="18"/>
                <w:lang w:val="en-US" w:eastAsia="zh-CN"/>
              </w:rPr>
              <w:t>0</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lang w:val="en-US" w:eastAsia="zh-CN"/>
              </w:rPr>
            </w:pPr>
            <w:r>
              <w:rPr>
                <w:rFonts w:hint="eastAsia" w:ascii="Times New Roman" w:hAnsi="Times New Roman" w:eastAsia="宋体" w:cs="Times New Roman"/>
                <w:color w:val="auto"/>
                <w:kern w:val="0"/>
                <w:sz w:val="24"/>
                <w:szCs w:val="20"/>
                <w:u w:val="none"/>
                <w:lang w:val="en-US" w:eastAsia="zh-CN" w:bidi="ar"/>
              </w:rPr>
              <w:t>推荐为江铃、庆铃、东风生产产品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bookmarkStart w:id="2" w:name="_GoBack"/>
            <w:r>
              <w:rPr>
                <w:rFonts w:hint="eastAsia" w:ascii="宋体" w:hAnsi="宋体" w:cs="宋体"/>
                <w:color w:val="auto"/>
                <w:kern w:val="0"/>
                <w:sz w:val="18"/>
                <w:szCs w:val="18"/>
                <w:lang w:val="en-US" w:eastAsia="zh-CN" w:bidi="ar"/>
              </w:rPr>
              <w:t>2</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皮卡车</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一、基本要求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★该产品为国家工业和信息化部《车辆生产企业及产品公告》中公布的产品。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★该产品需通过国家3C认证。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3)质量保证期：三年6万公里</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交货地点：用户指定地点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二、整车技术参数要求: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排放标准：国六</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★排量(ml)≥1900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 燃油种类：柴油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★功率KW≥100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 ★变速箱：5MT,两驱</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auto"/>
                <w:kern w:val="0"/>
                <w:sz w:val="18"/>
                <w:szCs w:val="18"/>
                <w:u w:val="none"/>
                <w:lang w:val="en-US" w:eastAsia="zh-CN" w:bidi="ar"/>
              </w:rPr>
              <w:t>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)车身级别：皮卡</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 ★外形尺寸（MM）≥5700×1900×1800mm，货箱尺寸：≥1800×1450×480mm</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 驾驶室准成人数≥5 人</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轴数≥2轴</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轮胎数≥4个</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ABS防抱死</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)轮胎规格：245/70R17</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)轮毂材质：铝合金</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)驾驶室：●驾驶座气囊 ●副驾驶气囊 ●空调系统</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)方向盘：液压助力</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※带★号项为必须满足条款。</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2</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rPr>
              <w:t>10</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lang w:val="en-US"/>
              </w:rPr>
            </w:pPr>
            <w:r>
              <w:rPr>
                <w:rFonts w:hint="eastAsia" w:ascii="Times New Roman" w:hAnsi="Times New Roman" w:eastAsia="宋体" w:cs="Times New Roman"/>
                <w:color w:val="auto"/>
                <w:kern w:val="0"/>
                <w:sz w:val="24"/>
                <w:szCs w:val="20"/>
                <w:u w:val="none"/>
                <w:lang w:val="en-US" w:eastAsia="zh-CN" w:bidi="ar"/>
              </w:rPr>
              <w:t>推荐为江铃、庆铃、东风生产产品</w:t>
            </w:r>
          </w:p>
        </w:tc>
      </w:tr>
      <w:bookmarkEnd w:id="2"/>
    </w:tbl>
    <w:p>
      <w:pPr>
        <w:spacing w:line="240" w:lineRule="auto"/>
        <w:ind w:firstLine="0" w:firstLineChars="0"/>
        <w:jc w:val="center"/>
        <w:rPr>
          <w:rFonts w:hint="eastAsia" w:eastAsia="黑体"/>
          <w:lang w:val="en-US" w:eastAsia="zh-CN"/>
        </w:rPr>
      </w:pPr>
    </w:p>
    <w:p>
      <w:pPr>
        <w:spacing w:line="240" w:lineRule="auto"/>
        <w:ind w:firstLine="0" w:firstLineChars="0"/>
        <w:jc w:val="left"/>
        <w:rPr>
          <w:rFonts w:hint="default" w:eastAsia="黑体" w:cs="Times New Roman"/>
          <w:kern w:val="2"/>
          <w:sz w:val="24"/>
          <w:szCs w:val="24"/>
          <w:lang w:val="en-US" w:eastAsia="zh-CN" w:bidi="ar"/>
        </w:rPr>
      </w:pPr>
      <w:r>
        <w:rPr>
          <w:rFonts w:hint="eastAsia" w:eastAsia="黑体"/>
          <w:lang w:val="en-US" w:eastAsia="zh-CN"/>
        </w:rPr>
        <w:t>注：对于附表参数中表明的品牌，为遴选人推荐使用品牌，申请人必须采用推荐品牌或同等档次的品牌设备进行报价</w:t>
      </w:r>
      <w:r>
        <w:rPr>
          <w:rFonts w:hint="eastAsia" w:eastAsia="黑体" w:cs="Times New Roman"/>
          <w:kern w:val="2"/>
          <w:sz w:val="24"/>
          <w:szCs w:val="24"/>
          <w:lang w:val="en-US" w:eastAsia="zh-CN" w:bidi="ar"/>
        </w:rPr>
        <w:t>。如中选后，中选人所供设备不能满足遴选人使用要求，应按遴选人要求无条件更换为推荐品牌或同档次品牌产品，且报价不予调整。</w:t>
      </w: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lang w:val="en-US" w:eastAsia="zh-CN"/>
        </w:rPr>
      </w:pPr>
      <w:r>
        <w:rPr>
          <w:rFonts w:hint="eastAsia" w:eastAsia="黑体"/>
          <w:sz w:val="28"/>
          <w:szCs w:val="28"/>
          <w:lang w:val="en-US" w:eastAsia="zh-CN"/>
        </w:rPr>
        <w:t>第2合同包</w:t>
      </w:r>
    </w:p>
    <w:tbl>
      <w:tblPr>
        <w:tblStyle w:val="7"/>
        <w:tblW w:w="9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25"/>
        <w:gridCol w:w="4760"/>
        <w:gridCol w:w="769"/>
        <w:gridCol w:w="1381"/>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序号</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w:t>
            </w:r>
          </w:p>
        </w:tc>
        <w:tc>
          <w:tcPr>
            <w:tcW w:w="47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车辆参数要求</w:t>
            </w:r>
          </w:p>
        </w:tc>
        <w:tc>
          <w:tcPr>
            <w:tcW w:w="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数量（台）</w:t>
            </w:r>
          </w:p>
        </w:tc>
        <w:tc>
          <w:tcPr>
            <w:tcW w:w="1381"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bidi="ar"/>
              </w:rPr>
            </w:pPr>
            <w:r>
              <w:rPr>
                <w:rFonts w:hint="eastAsia" w:ascii="宋体" w:hAnsi="宋体" w:cs="宋体"/>
                <w:b/>
                <w:bCs/>
                <w:color w:val="auto"/>
                <w:kern w:val="0"/>
                <w:sz w:val="18"/>
                <w:szCs w:val="18"/>
                <w:lang w:bidi="ar"/>
              </w:rPr>
              <w:t>业绩要求最低数量(台)</w:t>
            </w:r>
          </w:p>
        </w:tc>
        <w:tc>
          <w:tcPr>
            <w:tcW w:w="8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eastAsia="zh-CN" w:bidi="ar"/>
              </w:rPr>
            </w:pPr>
            <w:r>
              <w:rPr>
                <w:rFonts w:hint="eastAsia" w:ascii="宋体" w:hAnsi="宋体" w:eastAsia="宋体" w:cs="宋体"/>
                <w:b/>
                <w:bCs/>
                <w:color w:val="auto"/>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bidi="ar"/>
              </w:rPr>
              <w:t>1</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sz w:val="18"/>
                <w:szCs w:val="18"/>
                <w:lang w:val="en-US"/>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护栏抢修车</w:t>
            </w:r>
          </w:p>
        </w:tc>
        <w:tc>
          <w:tcPr>
            <w:tcW w:w="47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一、基本要求</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 ★该产品为国家工业和信息化部《车辆生产企业及产品公告》中公布的产品。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 ★该产品需通过国家3C认证。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3)质量保证期：三年6万公里</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 交货地点：用户指定地点</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二、整车技术参数要求:</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 排放标准：国六</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 ★排量(ml)≥2700</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 燃油种类：柴油</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 ★功率KW≥90</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 ★变速箱：5MT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6)总质量(kg)：＜6550</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 ★外形尺寸（MM）≥6200×1800×2800mm</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 驾驶室准成人数≥5人</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轴数≥2轴</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轮胎数≥6个</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ABS防抱死</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)轮胎规格：7.00R16LT 8PR</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三、打拔桩装置：</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14)拔桩力≥95KN，拔桩行程≥2m；</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15)装置可回转≥240°；</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16)液压锤工作高度≥2700mm，液压锤冲击力10-17Mpa，液压锤冲击频率8-15Hz，液压系统流量30-65L/min，系统工作压力≥16Mpa</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17)带气动钻孔装置</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四、功能配置</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18)空调、无死角后视镜、中控锁电动车窗、方向盘转向助力。</w:t>
            </w:r>
          </w:p>
          <w:p>
            <w:pPr>
              <w:keepNext w:val="0"/>
              <w:keepLines w:val="0"/>
              <w:widowControl/>
              <w:suppressLineNumbers w:val="0"/>
              <w:jc w:val="left"/>
              <w:textAlignment w:val="center"/>
              <w:rPr>
                <w:rFonts w:hint="eastAsia" w:ascii="宋体" w:hAnsi="宋体" w:eastAsia="宋体" w:cs="宋体"/>
                <w:color w:val="000000" w:themeColor="text1"/>
                <w:sz w:val="18"/>
                <w:szCs w:val="18"/>
                <w:u w:val="none"/>
                <w:lang w:val="en-US"/>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※带★号项为必须满足条款。</w:t>
            </w:r>
          </w:p>
        </w:tc>
        <w:tc>
          <w:tcPr>
            <w:tcW w:w="7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1</w:t>
            </w:r>
          </w:p>
        </w:tc>
        <w:tc>
          <w:tcPr>
            <w:tcW w:w="1381"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18"/>
                <w:szCs w:val="18"/>
              </w:rPr>
            </w:pPr>
          </w:p>
        </w:tc>
      </w:tr>
    </w:tbl>
    <w:p>
      <w:pPr>
        <w:spacing w:line="240" w:lineRule="auto"/>
        <w:ind w:firstLine="0" w:firstLineChars="0"/>
        <w:jc w:val="center"/>
        <w:rPr>
          <w:rFonts w:hint="eastAsia" w:eastAsia="黑体"/>
          <w:lang w:val="en-US" w:eastAsia="zh-CN"/>
        </w:rPr>
      </w:pPr>
      <w:r>
        <w:rPr>
          <w:rFonts w:hint="eastAsia" w:eastAsia="黑体"/>
        </w:rPr>
        <w:br w:type="page"/>
      </w:r>
      <w:r>
        <w:rPr>
          <w:rFonts w:hint="eastAsia" w:eastAsia="黑体"/>
          <w:sz w:val="28"/>
          <w:szCs w:val="28"/>
          <w:lang w:val="en-US" w:eastAsia="zh-CN"/>
        </w:rPr>
        <w:t>第3合同包</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731"/>
        <w:gridCol w:w="5001"/>
        <w:gridCol w:w="675"/>
        <w:gridCol w:w="1082"/>
        <w:gridCol w:w="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序号</w:t>
            </w:r>
          </w:p>
        </w:tc>
        <w:tc>
          <w:tcPr>
            <w:tcW w:w="73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小型机具</w:t>
            </w:r>
          </w:p>
        </w:tc>
        <w:tc>
          <w:tcPr>
            <w:tcW w:w="50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参数要求</w:t>
            </w:r>
          </w:p>
        </w:tc>
        <w:tc>
          <w:tcPr>
            <w:tcW w:w="675"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数量（台）</w:t>
            </w:r>
          </w:p>
        </w:tc>
        <w:tc>
          <w:tcPr>
            <w:tcW w:w="10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atLeast"/>
              <w:ind w:left="0" w:leftChars="0" w:right="0" w:rightChars="0"/>
              <w:jc w:val="center"/>
              <w:textAlignment w:val="center"/>
              <w:rPr>
                <w:rFonts w:hint="eastAsia" w:ascii="宋体" w:hAnsi="宋体" w:eastAsia="宋体" w:cs="宋体"/>
                <w:b/>
                <w:bCs/>
                <w:color w:val="000000"/>
                <w:kern w:val="0"/>
                <w:sz w:val="18"/>
                <w:szCs w:val="18"/>
                <w:lang w:val="en-US" w:eastAsia="zh-CN" w:bidi="ar"/>
              </w:rPr>
            </w:pPr>
            <w:r>
              <w:rPr>
                <w:rFonts w:hint="eastAsia" w:ascii="宋体" w:hAnsi="宋体" w:cs="宋体"/>
                <w:b/>
                <w:bCs/>
                <w:color w:val="000000"/>
                <w:kern w:val="0"/>
                <w:sz w:val="18"/>
                <w:szCs w:val="18"/>
                <w:lang w:bidi="ar"/>
              </w:rPr>
              <w:t>业绩要求最低数量(台)</w:t>
            </w:r>
          </w:p>
        </w:tc>
        <w:tc>
          <w:tcPr>
            <w:tcW w:w="59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73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撒布机</w:t>
            </w:r>
          </w:p>
        </w:tc>
        <w:tc>
          <w:tcPr>
            <w:tcW w:w="50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1、料仓容积：≥10m3，发动机输出功率≥7kw；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2、仓体：仓体内外进行防腐处理（或不锈钢制造），橘黄色外漆；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3、传送链条、撒布盘、下料斗等零部件应采用不锈钢制造，三级防腐处理；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4、料仓上部安装有防护盖；</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5、料仓上部安装有过滤筛，能防止杂物及大体积受潮、板结物料进入料仓；</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6、撒布宽度：≥3-12米，撒盘直径≥450mm，具有撒布偏转结构，可左右不对称撒布，适应不同道路情况，撒布速度≥30km/h；</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7、撒布量：撒布量可调节（20～150g/m2）；物料输送系统应不卡料，输送顺畅，（刮板、螺旋）并具有应急手动操作功能；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8、撒布播盘和出料槽可方便的翻转，具有余料排清功能；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9、独立的动力系统，发动机燃油为柴油；（部分厂家与底盘共享动力）；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10、撒布量、宽度、均可在驾驶室内完成，配备视频系统对撒布工作进行监控；</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11、撒布机安放有专用的支撑系统，固定车厢采用可伸缩钢管支撑厢底和上部锁链固定；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12、安全装置：佩有照明装置、前后均有警示装置；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i w:val="0"/>
                <w:iCs w:val="0"/>
                <w:color w:val="000000"/>
                <w:kern w:val="0"/>
                <w:sz w:val="20"/>
                <w:szCs w:val="20"/>
                <w:u w:val="none"/>
                <w:lang w:val="en-US" w:eastAsia="zh-CN" w:bidi="ar"/>
              </w:rPr>
              <w:t>13、配备品牌液压泵、控制阀等其他主要液压件。</w:t>
            </w:r>
          </w:p>
        </w:tc>
        <w:tc>
          <w:tcPr>
            <w:tcW w:w="67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w:t>
            </w:r>
          </w:p>
        </w:tc>
        <w:tc>
          <w:tcPr>
            <w:tcW w:w="108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leftChars="0" w:right="0" w:rightChars="0"/>
              <w:jc w:val="center"/>
              <w:rPr>
                <w:rFonts w:hint="eastAsia" w:ascii="宋体" w:hAnsi="宋体" w:eastAsia="宋体" w:cs="宋体"/>
                <w:color w:val="000000"/>
                <w:kern w:val="2"/>
                <w:sz w:val="18"/>
                <w:szCs w:val="18"/>
                <w:lang w:val="en-US" w:eastAsia="zh-CN" w:bidi="ar-SA"/>
              </w:rPr>
            </w:pPr>
            <w:r>
              <w:rPr>
                <w:rFonts w:hint="eastAsia" w:ascii="宋体" w:hAnsi="宋体" w:cs="宋体"/>
                <w:color w:val="auto"/>
                <w:kern w:val="0"/>
                <w:sz w:val="20"/>
                <w:szCs w:val="20"/>
                <w:lang w:eastAsia="zh-CN"/>
              </w:rPr>
              <w:t>1</w:t>
            </w:r>
            <w:r>
              <w:rPr>
                <w:rFonts w:hint="eastAsia" w:ascii="宋体" w:hAnsi="宋体" w:cs="宋体"/>
                <w:color w:val="auto"/>
                <w:kern w:val="0"/>
                <w:sz w:val="20"/>
                <w:szCs w:val="20"/>
                <w:lang w:val="en-US" w:eastAsia="zh-CN"/>
              </w:rPr>
              <w:t>0</w:t>
            </w:r>
            <w:r>
              <w:rPr>
                <w:rFonts w:hint="eastAsia" w:ascii="宋体" w:hAnsi="宋体" w:cs="宋体"/>
                <w:color w:val="auto"/>
                <w:kern w:val="0"/>
                <w:sz w:val="20"/>
                <w:szCs w:val="20"/>
              </w:rPr>
              <w:t>0</w:t>
            </w: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eastAsia" w:ascii="宋体" w:hAnsi="宋体" w:eastAsia="宋体" w:cs="宋体"/>
                <w:color w:val="00000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73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推雪铲</w:t>
            </w:r>
          </w:p>
        </w:tc>
        <w:tc>
          <w:tcPr>
            <w:tcW w:w="50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1、能在驾驶室内完成推雪铲的操作，工作装置与主机的连接和装配方便快捷。</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2、推雪板宽度≥3米，高度≥1米，重量 ≥ 900Kg，作业速度30-60Km/h；</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3、推雪铲刃更换、拆装方便和快捷，铲刃耐磨性好；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4、推雪板的上下高度、左右偏转采用液压缸调节，左右偏转角度≥30°；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5、推雪板应具设有可调式液压缸限位机构，保证在不平坦地面上保持悬浮状态，始终紧贴地面；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6、推雪板在运输状态具有双重保险（液压及机械），可以保证运输时的安全性；</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7、动力源：独立液压动力单元；</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8、具备三级分体翻转避让功能，且含有不少于6个压缩弹簧，当铲刃遇到道钉、减速凸棱、接缝、异物阻碍时，铲刃能在外力作用下自动翻起，翻起力大小可调，最大越障高度≥260mm；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18"/>
                <w:szCs w:val="18"/>
                <w:lang w:val="en-US"/>
              </w:rPr>
            </w:pPr>
            <w:r>
              <w:rPr>
                <w:rFonts w:hint="eastAsia" w:ascii="宋体" w:hAnsi="宋体" w:eastAsia="宋体" w:cs="宋体"/>
                <w:i w:val="0"/>
                <w:iCs w:val="0"/>
                <w:color w:val="000000"/>
                <w:kern w:val="0"/>
                <w:sz w:val="20"/>
                <w:szCs w:val="20"/>
                <w:u w:val="none"/>
                <w:lang w:val="en-US" w:eastAsia="zh-CN" w:bidi="ar"/>
              </w:rPr>
              <w:t>9、安全装置：有安全警示标志、指示灯以及照明系统。</w:t>
            </w:r>
          </w:p>
        </w:tc>
        <w:tc>
          <w:tcPr>
            <w:tcW w:w="67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w:t>
            </w:r>
          </w:p>
        </w:tc>
        <w:tc>
          <w:tcPr>
            <w:tcW w:w="108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leftChars="0" w:right="0" w:rightChars="0"/>
              <w:jc w:val="center"/>
              <w:rPr>
                <w:rFonts w:hint="eastAsia" w:ascii="宋体" w:hAnsi="宋体" w:eastAsia="宋体" w:cs="宋体"/>
                <w:color w:val="000000"/>
                <w:kern w:val="2"/>
                <w:sz w:val="18"/>
                <w:szCs w:val="18"/>
                <w:lang w:val="en-US" w:eastAsia="zh-CN" w:bidi="ar-SA"/>
              </w:rPr>
            </w:pPr>
            <w:r>
              <w:rPr>
                <w:rFonts w:hint="eastAsia" w:ascii="宋体" w:hAnsi="宋体" w:cs="宋体"/>
                <w:color w:val="auto"/>
                <w:kern w:val="0"/>
                <w:sz w:val="20"/>
                <w:szCs w:val="20"/>
                <w:lang w:val="en-US" w:eastAsia="zh-CN"/>
              </w:rPr>
              <w:t>10</w:t>
            </w:r>
            <w:r>
              <w:rPr>
                <w:rFonts w:hint="eastAsia" w:ascii="宋体" w:hAnsi="宋体" w:cs="宋体"/>
                <w:color w:val="auto"/>
                <w:kern w:val="0"/>
                <w:sz w:val="20"/>
                <w:szCs w:val="20"/>
              </w:rPr>
              <w:t>0</w:t>
            </w: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eastAsia" w:ascii="宋体" w:hAnsi="宋体" w:eastAsia="宋体" w:cs="宋体"/>
                <w:kern w:val="2"/>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w:t>
            </w:r>
          </w:p>
        </w:tc>
        <w:tc>
          <w:tcPr>
            <w:tcW w:w="73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18"/>
                <w:szCs w:val="18"/>
                <w:lang w:bidi="ar"/>
              </w:rPr>
            </w:pPr>
            <w:r>
              <w:rPr>
                <w:rFonts w:hint="eastAsia" w:ascii="宋体" w:hAnsi="宋体" w:eastAsia="宋体" w:cs="宋体"/>
                <w:i w:val="0"/>
                <w:iCs w:val="0"/>
                <w:color w:val="000000"/>
                <w:kern w:val="0"/>
                <w:sz w:val="20"/>
                <w:szCs w:val="20"/>
                <w:u w:val="none"/>
                <w:lang w:val="en-US" w:eastAsia="zh-CN" w:bidi="ar"/>
              </w:rPr>
              <w:t>除雪车</w:t>
            </w:r>
          </w:p>
        </w:tc>
        <w:tc>
          <w:tcPr>
            <w:tcW w:w="50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1、提供的配套车辆应能够办理上牌和国家要求的其它必要手续，驾驶室内具备冷暖风空调装置，各种设备独立性强，安装和拆卸方便快速；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底盘：采用国内外知名厂家的原装车底盘，整车尺寸9130/9730×2500×3520mm，后车厢长度≥5.2m，总质量≥12T，额定荷载≥5T，轴距≥4.7m，车最高行驶速度≥90km/h，助力转向，轴距≥4700mm，国Ⅵ柴油发动机，功率≥150k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3、起重结构：徐工随车起重机，折臂式，底盘液压取力，最大起重力矩≥16T.M，最大工作半径10m，最大起升高度12m，最大起吊重量8T，回转范围360°；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4、前置推雪铲：参数同上</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5、后置撒布机：参数同上</w:t>
            </w:r>
          </w:p>
        </w:tc>
        <w:tc>
          <w:tcPr>
            <w:tcW w:w="67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w:t>
            </w:r>
          </w:p>
        </w:tc>
        <w:tc>
          <w:tcPr>
            <w:tcW w:w="108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00" w:lineRule="atLeast"/>
              <w:ind w:left="0" w:leftChars="0" w:right="0" w:rightChars="0"/>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20</w:t>
            </w: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eastAsia" w:ascii="宋体" w:hAnsi="宋体" w:eastAsia="宋体" w:cs="宋体"/>
                <w:kern w:val="2"/>
                <w:sz w:val="18"/>
                <w:szCs w:val="18"/>
                <w:lang w:val="en-US" w:eastAsia="zh-CN"/>
              </w:rPr>
            </w:pPr>
          </w:p>
        </w:tc>
      </w:tr>
    </w:tbl>
    <w:p>
      <w:pPr>
        <w:spacing w:line="240" w:lineRule="auto"/>
        <w:ind w:firstLine="0" w:firstLineChars="0"/>
        <w:jc w:val="left"/>
        <w:rPr>
          <w:rFonts w:hint="eastAsia" w:eastAsia="黑体"/>
          <w:lang w:val="en-US" w:eastAsia="zh-CN"/>
        </w:rPr>
      </w:pPr>
    </w:p>
    <w:p>
      <w:pPr>
        <w:spacing w:line="240" w:lineRule="auto"/>
        <w:ind w:firstLine="0" w:firstLineChars="0"/>
        <w:jc w:val="left"/>
        <w:rPr>
          <w:rFonts w:hint="default" w:eastAsia="黑体" w:cs="Times New Roman"/>
          <w:kern w:val="2"/>
          <w:sz w:val="24"/>
          <w:szCs w:val="24"/>
          <w:lang w:val="en-US" w:eastAsia="zh-CN" w:bidi="ar"/>
        </w:rPr>
      </w:pPr>
    </w:p>
    <w:p>
      <w:pPr>
        <w:spacing w:line="240" w:lineRule="auto"/>
        <w:ind w:firstLine="0" w:firstLineChars="0"/>
        <w:jc w:val="left"/>
        <w:rPr>
          <w:rFonts w:hint="default" w:eastAsia="黑体" w:cs="Times New Roman"/>
          <w:kern w:val="2"/>
          <w:sz w:val="24"/>
          <w:szCs w:val="24"/>
          <w:lang w:val="en-US" w:eastAsia="zh-CN" w:bidi="ar"/>
        </w:rPr>
      </w:pPr>
    </w:p>
    <w:p>
      <w:pPr>
        <w:spacing w:line="240" w:lineRule="auto"/>
        <w:ind w:firstLine="0" w:firstLineChars="0"/>
        <w:jc w:val="left"/>
        <w:rPr>
          <w:rFonts w:hint="default" w:eastAsia="黑体" w:cs="Times New Roman"/>
          <w:kern w:val="2"/>
          <w:sz w:val="24"/>
          <w:szCs w:val="24"/>
          <w:lang w:val="en-US" w:eastAsia="zh-CN" w:bidi="ar"/>
        </w:rPr>
      </w:pPr>
    </w:p>
    <w:p>
      <w:pPr>
        <w:spacing w:line="240" w:lineRule="auto"/>
        <w:ind w:firstLine="0" w:firstLineChars="0"/>
        <w:jc w:val="left"/>
        <w:rPr>
          <w:rFonts w:hint="default" w:eastAsia="黑体" w:cs="Times New Roman"/>
          <w:kern w:val="2"/>
          <w:sz w:val="24"/>
          <w:szCs w:val="24"/>
          <w:lang w:val="en-US" w:eastAsia="zh-CN" w:bidi="ar"/>
        </w:rPr>
      </w:pPr>
    </w:p>
    <w:p>
      <w:pPr>
        <w:spacing w:line="240" w:lineRule="auto"/>
        <w:ind w:firstLine="0" w:firstLineChars="0"/>
        <w:jc w:val="left"/>
        <w:rPr>
          <w:rFonts w:hint="default" w:eastAsia="黑体" w:cs="Times New Roman"/>
          <w:kern w:val="2"/>
          <w:sz w:val="24"/>
          <w:szCs w:val="24"/>
          <w:lang w:val="en-US" w:eastAsia="zh-CN" w:bidi="ar"/>
        </w:rPr>
      </w:pPr>
    </w:p>
    <w:p>
      <w:pPr>
        <w:spacing w:line="240" w:lineRule="auto"/>
        <w:ind w:firstLine="0" w:firstLineChars="0"/>
        <w:jc w:val="left"/>
        <w:rPr>
          <w:rFonts w:hint="default" w:eastAsia="黑体" w:cs="Times New Roman"/>
          <w:kern w:val="2"/>
          <w:sz w:val="24"/>
          <w:szCs w:val="24"/>
          <w:lang w:val="en-US" w:eastAsia="zh-CN" w:bidi="ar"/>
        </w:rPr>
      </w:pPr>
    </w:p>
    <w:p>
      <w:pPr>
        <w:pStyle w:val="6"/>
        <w:rPr>
          <w:rFonts w:hint="default"/>
          <w:lang w:val="en-US" w:eastAsia="zh-CN"/>
        </w:rPr>
      </w:pPr>
    </w:p>
    <w:p>
      <w:pPr>
        <w:spacing w:line="240" w:lineRule="auto"/>
        <w:ind w:firstLine="0" w:firstLineChars="0"/>
        <w:jc w:val="center"/>
        <w:rPr>
          <w:rFonts w:hint="eastAsia" w:eastAsia="黑体"/>
          <w:lang w:val="en-US" w:eastAsia="zh-CN"/>
        </w:rPr>
      </w:pPr>
      <w:r>
        <w:rPr>
          <w:rFonts w:hint="eastAsia" w:eastAsia="黑体"/>
          <w:sz w:val="28"/>
          <w:szCs w:val="28"/>
          <w:lang w:val="en-US" w:eastAsia="zh-CN"/>
        </w:rPr>
        <w:t>第4合同包</w:t>
      </w:r>
    </w:p>
    <w:tbl>
      <w:tblPr>
        <w:tblStyle w:val="7"/>
        <w:tblW w:w="9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617"/>
        <w:gridCol w:w="5143"/>
        <w:gridCol w:w="721"/>
        <w:gridCol w:w="1254"/>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序号</w:t>
            </w:r>
          </w:p>
        </w:tc>
        <w:tc>
          <w:tcPr>
            <w:tcW w:w="6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车辆</w:t>
            </w:r>
          </w:p>
        </w:tc>
        <w:tc>
          <w:tcPr>
            <w:tcW w:w="51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车辆参数要求</w:t>
            </w:r>
          </w:p>
        </w:tc>
        <w:tc>
          <w:tcPr>
            <w:tcW w:w="7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数量（台）</w:t>
            </w:r>
          </w:p>
        </w:tc>
        <w:tc>
          <w:tcPr>
            <w:tcW w:w="1254"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18"/>
                <w:szCs w:val="18"/>
                <w:lang w:val="en-US" w:bidi="ar"/>
              </w:rPr>
            </w:pPr>
            <w:r>
              <w:rPr>
                <w:rFonts w:hint="eastAsia" w:ascii="宋体" w:hAnsi="宋体" w:cs="宋体"/>
                <w:b/>
                <w:bCs/>
                <w:color w:val="000000"/>
                <w:kern w:val="0"/>
                <w:sz w:val="18"/>
                <w:szCs w:val="18"/>
                <w:lang w:bidi="ar"/>
              </w:rPr>
              <w:t>业绩要求最低数量(台)</w:t>
            </w:r>
          </w:p>
        </w:tc>
        <w:tc>
          <w:tcPr>
            <w:tcW w:w="8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18"/>
                <w:szCs w:val="18"/>
                <w:lang w:val="en-US" w:eastAsia="zh-CN" w:bidi="ar"/>
              </w:rPr>
            </w:pPr>
            <w:r>
              <w:rPr>
                <w:rFonts w:hint="eastAsia" w:ascii="宋体" w:hAnsi="宋体" w:eastAsia="宋体" w:cs="宋体"/>
                <w:b/>
                <w:bCs/>
                <w:color w:val="00000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rPr>
            </w:pPr>
            <w:r>
              <w:rPr>
                <w:rFonts w:hint="eastAsia" w:ascii="宋体" w:hAnsi="宋体" w:cs="宋体"/>
                <w:i w:val="0"/>
                <w:iCs w:val="0"/>
                <w:color w:val="000000"/>
                <w:kern w:val="0"/>
                <w:sz w:val="20"/>
                <w:szCs w:val="20"/>
                <w:u w:val="none"/>
                <w:lang w:val="en-US" w:eastAsia="zh-CN" w:bidi="ar"/>
              </w:rPr>
              <w:t>开槽</w:t>
            </w:r>
            <w:r>
              <w:rPr>
                <w:rFonts w:hint="eastAsia" w:ascii="宋体" w:hAnsi="宋体" w:eastAsia="宋体" w:cs="宋体"/>
                <w:i w:val="0"/>
                <w:iCs w:val="0"/>
                <w:color w:val="000000"/>
                <w:kern w:val="0"/>
                <w:sz w:val="20"/>
                <w:szCs w:val="20"/>
                <w:u w:val="none"/>
                <w:lang w:val="en-US" w:eastAsia="zh-CN" w:bidi="ar"/>
              </w:rPr>
              <w:t>灌缝</w:t>
            </w:r>
            <w:r>
              <w:rPr>
                <w:rFonts w:hint="eastAsia" w:ascii="宋体" w:hAnsi="宋体" w:cs="宋体"/>
                <w:i w:val="0"/>
                <w:iCs w:val="0"/>
                <w:color w:val="000000"/>
                <w:kern w:val="0"/>
                <w:sz w:val="20"/>
                <w:szCs w:val="20"/>
                <w:u w:val="none"/>
                <w:lang w:val="en-US" w:eastAsia="zh-CN" w:bidi="ar"/>
              </w:rPr>
              <w:t>设备</w:t>
            </w:r>
          </w:p>
        </w:tc>
        <w:tc>
          <w:tcPr>
            <w:tcW w:w="51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开槽设备：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★1、开槽机发动机：四冲程汽油发动机，国际知名品牌，功率≥25HP，双缸风冷，电启动，带有三级空气过滤装置，空气过滤器更换滤芯方便。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★2、开槽深度：电动推杆控制升降，0～30(mm)范围内调整，开槽机应带有裂缝跟踪指示器，可以指示跟踪开出不规则裂缝的槽。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★3、开槽宽度：10～40(mm)范围内调整。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4、开槽机刀头：六片硬质合金刀头。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开槽机刀盘转动需采用电磁离合器，开槽时，通过握紧把手开关，发动机带动刀盘转动，进行开槽。不开槽时，松开把手开关，发动机处于怠速状态，节省能耗，延长发动机使用寿命。为保障安全，不接受发动机直接带动刀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6、除尘功能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★6.1、具有除尘功能，风机需采用发动机输出轴直连，传动效率更高，风机风量≥10m³/h，风管通径≥100mm。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★6.2、旋风筒直径≥32cm，收尘箱容积≥10L，收尘箱防尘口采用螺栓连接，便于清理灰尘。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6.3、除尘布袋采用金属支架支撑，并带有支撑底座，除尘布袋直径≥42cm，除尘布袋长度≥59cm。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6.4、风机、旋风筒、收尘箱、除尘布袋设置在开槽机同侧，气流传输管路更加合理，除尘效果更好。风机、旋风筒、收尘箱、除尘布袋及支架采用螺栓固定，便于拆卸维修。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7、安全防护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7.1、汽油油箱采用不锈钢油箱，容积≥20L，油箱放置在开槽机前部。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7.2、开槽机底部防尘采用胶皮和毛刷双层结构，有效防止灰尘和碎石飞溅。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注：技术指标带“★”条款为关键技术指标，若有一条不满足则视为无效</w:t>
            </w:r>
            <w:r>
              <w:rPr>
                <w:rFonts w:hint="eastAsia" w:ascii="宋体" w:hAnsi="宋体" w:cs="宋体"/>
                <w:i w:val="0"/>
                <w:iCs w:val="0"/>
                <w:color w:val="000000"/>
                <w:kern w:val="0"/>
                <w:sz w:val="20"/>
                <w:szCs w:val="20"/>
                <w:u w:val="none"/>
                <w:lang w:val="en-US" w:eastAsia="zh-CN" w:bidi="ar"/>
              </w:rPr>
              <w:t>申请</w:t>
            </w:r>
            <w:r>
              <w:rPr>
                <w:rFonts w:hint="eastAsia" w:ascii="宋体" w:hAnsi="宋体" w:eastAsia="宋体" w:cs="宋体"/>
                <w:i w:val="0"/>
                <w:iCs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三、吸尘机技术指标要求：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1、功能：主要用于路面吸尘清理、碎石清理，路面缝隙内的残留物清理，清理路面树叶、纸屑等垃圾杂物，延长道路寿命且利于环保。</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★2、发动机：国际知名品牌；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★3、发动机功率≥13马力；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4、有效作业直径≥10M；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★5、积尘桶容量≥100L；</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灌缝设备：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1、底盘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★1.1、整体需采用独特的分体平台式结构，施工时可直接将装置平台放置在用户现有的各类工程车上，不施工时，把装置平台从车上卸下后，车辆能进行其他运输作业。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1.2、灌缝机各部件需通过螺栓固定在平台上，便于维修和更换，不接受将灌缝机部件焊接到平台上的。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★1.3、外形尺寸≥2500×1150×1650mm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★2、动力系统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知名品牌发电机，电启动；功率≥5kw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3、热熔釜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3.1、热熔釜导热油加热，多层高保温结构，钢制外壳，保温材料厚度≥50mm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★3.2、容积：≥350L，料仓配有防溅料安全装置。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3.3、搅拌器：立式搅拌器，具有双向搅拌功能。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4、加热系统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4.1、加热方式：通过柴油燃烧器加热导热油间接加热材料，从底部和四壁加热材料。燃油箱：≥60L；导热油箱：≥60L。</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★4.2、原装进口燃烧器：≥250,000Btu/h（62750千卡），柴油燃烧器，燃烧室内壁可拆卸，可耐2300℃高温，电脑自动控制。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4.3、熔料时间：≤45分钟，在施工作业的同时，可以随时增添灌缝材料以保证施工作业的连续性。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5、温度控制系统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★5.1、控制系统：配备进口品牌全数字液晶显示控制箱程序控制，可人为设定导热油、密封胶和电加热出胶软管的温度，加热过程可通过液晶显示器读数监控。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5.2、温度控制范围：常温-280℃；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★6、输料系统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6.1、输料软管由软管和灌缝枪两部分组成,全程电加热，温度自动控制，电加热软管≥4.8米，电加热硬质铝合金灌缝枪管≥1.2米；(需提供实物图片)；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6.2、非浸没式外置泵，料泵工作流量≥30L/min，可连续灌注，料泵马达可正反转，施工完毕后输料软管里的灌缝材料可回流到料箱中，不至于冷却后的灌缝料堵塞输料管道。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6.3、出料控制：控制为手柄扳机式，非杆阀式，并且可自动控制料泵系统的启动与关闭。(需提供扳机开关控制的实物图片)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7、喷漆要求：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7.1要求有喷洒除锈的前处理，以保证涂层的附着力及使用寿命。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7.2漆的涂层厚度不小于250um。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注：技术指标带“★”条款为关键技术指标，若有一条不满足则视为无效</w:t>
            </w:r>
            <w:r>
              <w:rPr>
                <w:rFonts w:hint="eastAsia" w:ascii="宋体" w:hAnsi="宋体" w:cs="宋体"/>
                <w:i w:val="0"/>
                <w:iCs w:val="0"/>
                <w:color w:val="000000"/>
                <w:kern w:val="0"/>
                <w:sz w:val="20"/>
                <w:szCs w:val="20"/>
                <w:u w:val="none"/>
                <w:lang w:val="en-US" w:eastAsia="zh-CN" w:bidi="ar"/>
              </w:rPr>
              <w:t>申请</w:t>
            </w:r>
            <w:r>
              <w:rPr>
                <w:rFonts w:hint="eastAsia" w:ascii="宋体" w:hAnsi="宋体" w:eastAsia="宋体" w:cs="宋体"/>
                <w:i w:val="0"/>
                <w:iCs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p>
        </w:tc>
        <w:tc>
          <w:tcPr>
            <w:tcW w:w="72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sz w:val="18"/>
                <w:szCs w:val="18"/>
                <w:lang w:val="en-US" w:eastAsia="zh-CN"/>
              </w:rPr>
            </w:pPr>
            <w:r>
              <w:rPr>
                <w:rFonts w:hint="eastAsia" w:ascii="宋体" w:hAnsi="宋体" w:cs="宋体"/>
                <w:color w:val="auto"/>
                <w:kern w:val="0"/>
                <w:sz w:val="18"/>
                <w:szCs w:val="18"/>
                <w:lang w:val="en-US" w:eastAsia="zh-CN"/>
              </w:rPr>
              <w:t>5</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2</w:t>
            </w:r>
          </w:p>
        </w:tc>
        <w:tc>
          <w:tcPr>
            <w:tcW w:w="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绿篱机</w:t>
            </w:r>
          </w:p>
        </w:tc>
        <w:tc>
          <w:tcPr>
            <w:tcW w:w="51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功能绿化修剪机设备要求：专门用于高速公路化修剪设备，用于道路中间隔离带修剪、右侧绿化带修剪、边坡除草修剪、高枝修剪。设备放置于货车车厢中，使用无线遥控操作，可根据不同的工况选择不同的切割装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一、整机机型：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★1.车载分体式结构，固定底架附有整体配重块，增加安全性。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★2.修剪折叠臂：全自动三节折叠臂设计，非伸缩臂，可360度旋转，能满足不同角度的修剪，可以左右切换作业。（提供全自动三节折叠臂操作、旋转、作业视频）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3.安装尺寸≤2700x1700x2200mm（长x宽x高）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★4.修剪作业高度范围：-1000—6600mm（含底盘车高度1米）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5.最大水平修剪距离≥5450mm（从底盘车中心点位置）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★6.修剪水平绿篱作业高度：0-3.5m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★7.作业宽度≥1500mm；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二、发动机：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★1.进口国际知名品牌柴油发动机，三缸水冷，发动机功率≥19.5KW；（提供发动机及发动机铭牌实物照片）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三、液压系统：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★1.全液压系统控制马达、刀头、油缸、整机水平旋转等，液压系统为进口部件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★2.刀头由三个进口液压马达独立控制,非电动马达控制刀头，更加安全；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四、无线遥控系统：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★1.远程无线遥控器，可实现最远50米距离的无线遥控控制，可以实现对发动机的启停、工作臂变幅、工作面调整、马达启停等控制，安全、灵活。（提供无线遥控器操作视频）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★2.遥控器具有记忆功能，能够记录故障代码并能导出记录，方便维修。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五、切割刀具：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1.圆盘锯，两组一套，修剪乔木，修剪直径8CM。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2.直刀，三组一套，修剪绿篱、中分带等，修剪直径4CM。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★3.刀盘可实现360度旋转，可以实现所有角度的修剪。</w:t>
            </w:r>
          </w:p>
        </w:tc>
        <w:tc>
          <w:tcPr>
            <w:tcW w:w="72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sz w:val="18"/>
                <w:szCs w:val="18"/>
                <w:lang w:val="en-US"/>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bl>
    <w:p>
      <w:pPr>
        <w:widowControl/>
        <w:spacing w:line="240" w:lineRule="auto"/>
        <w:rPr>
          <w:rFonts w:eastAsia="黑体"/>
          <w:szCs w:val="22"/>
        </w:rPr>
      </w:pPr>
    </w:p>
    <w:p>
      <w:pPr>
        <w:widowControl/>
        <w:spacing w:line="240" w:lineRule="auto"/>
        <w:rPr>
          <w:rFonts w:hint="eastAsia" w:eastAsia="黑体"/>
          <w:szCs w:val="22"/>
          <w:lang w:val="en-US" w:eastAsia="zh-CN"/>
        </w:rPr>
      </w:pPr>
    </w:p>
    <w:p>
      <w:pPr>
        <w:pStyle w:val="6"/>
        <w:rPr>
          <w:rFonts w:hint="eastAsia" w:eastAsia="黑体"/>
          <w:szCs w:val="22"/>
          <w:lang w:val="en-US" w:eastAsia="zh-CN"/>
        </w:rPr>
      </w:pPr>
    </w:p>
    <w:p>
      <w:pPr>
        <w:rPr>
          <w:rFonts w:hint="eastAsia" w:eastAsia="黑体"/>
          <w:szCs w:val="22"/>
          <w:lang w:val="en-US" w:eastAsia="zh-CN"/>
        </w:rPr>
      </w:pPr>
    </w:p>
    <w:p>
      <w:pPr>
        <w:pStyle w:val="6"/>
        <w:rPr>
          <w:rFonts w:hint="eastAsia" w:eastAsia="黑体"/>
          <w:szCs w:val="22"/>
          <w:lang w:val="en-US" w:eastAsia="zh-CN"/>
        </w:rPr>
      </w:pPr>
    </w:p>
    <w:p>
      <w:pPr>
        <w:rPr>
          <w:rFonts w:hint="eastAsia" w:eastAsia="黑体"/>
          <w:szCs w:val="22"/>
          <w:lang w:val="en-US" w:eastAsia="zh-CN"/>
        </w:rPr>
      </w:pPr>
    </w:p>
    <w:p>
      <w:pPr>
        <w:pStyle w:val="6"/>
        <w:rPr>
          <w:rFonts w:hint="eastAsia" w:eastAsia="黑体"/>
          <w:szCs w:val="22"/>
          <w:lang w:val="en-US" w:eastAsia="zh-CN"/>
        </w:rPr>
      </w:pPr>
    </w:p>
    <w:p>
      <w:pPr>
        <w:rPr>
          <w:rFonts w:hint="eastAsia" w:eastAsia="黑体"/>
          <w:szCs w:val="22"/>
          <w:lang w:val="en-US" w:eastAsia="zh-CN"/>
        </w:rPr>
      </w:pPr>
    </w:p>
    <w:p>
      <w:pPr>
        <w:pStyle w:val="6"/>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rPr>
          <w:rFonts w:hint="eastAsia" w:eastAsia="黑体"/>
          <w:szCs w:val="22"/>
          <w:lang w:val="en-US" w:eastAsia="zh-CN"/>
        </w:rPr>
      </w:pPr>
    </w:p>
    <w:p>
      <w:pPr>
        <w:pStyle w:val="6"/>
        <w:rPr>
          <w:rFonts w:hint="eastAsia" w:eastAsia="黑体"/>
          <w:szCs w:val="22"/>
          <w:lang w:val="en-US" w:eastAsia="zh-CN"/>
        </w:rPr>
      </w:pPr>
    </w:p>
    <w:p>
      <w:pPr>
        <w:rPr>
          <w:rFonts w:hint="eastAsia" w:eastAsia="黑体"/>
          <w:szCs w:val="22"/>
          <w:lang w:val="en-US" w:eastAsia="zh-CN"/>
        </w:rPr>
      </w:pPr>
    </w:p>
    <w:p>
      <w:pPr>
        <w:pStyle w:val="6"/>
        <w:rPr>
          <w:rFonts w:hint="eastAsia" w:eastAsia="黑体"/>
          <w:szCs w:val="22"/>
          <w:lang w:val="en-US" w:eastAsia="zh-CN"/>
        </w:rPr>
      </w:pPr>
    </w:p>
    <w:p>
      <w:pPr>
        <w:spacing w:line="360" w:lineRule="auto"/>
        <w:jc w:val="center"/>
        <w:rPr>
          <w:rFonts w:hint="eastAsia" w:ascii="宋体" w:hAnsi="宋体" w:cs="宋体"/>
          <w:b/>
          <w:bCs/>
          <w:sz w:val="32"/>
          <w:szCs w:val="32"/>
        </w:rPr>
      </w:pPr>
      <w:r>
        <w:rPr>
          <w:rFonts w:hint="eastAsia" w:ascii="宋体" w:hAnsi="宋体" w:cs="宋体"/>
          <w:b/>
          <w:bCs/>
          <w:sz w:val="32"/>
          <w:szCs w:val="32"/>
          <w:lang w:eastAsia="zh-CN"/>
        </w:rPr>
        <w:t>2022年日常养护项目机械设备供应商</w:t>
      </w:r>
      <w:r>
        <w:rPr>
          <w:rFonts w:hint="eastAsia" w:ascii="宋体" w:hAnsi="宋体" w:cs="宋体"/>
          <w:b/>
          <w:bCs/>
          <w:sz w:val="32"/>
          <w:szCs w:val="32"/>
        </w:rPr>
        <w:t>遴选</w:t>
      </w:r>
    </w:p>
    <w:p>
      <w:pPr>
        <w:spacing w:line="360" w:lineRule="auto"/>
        <w:jc w:val="center"/>
        <w:rPr>
          <w:rFonts w:ascii="宋体" w:hAnsi="宋体" w:cs="宋体"/>
          <w:b/>
          <w:bCs/>
          <w:sz w:val="32"/>
          <w:szCs w:val="32"/>
        </w:rPr>
      </w:pPr>
      <w:r>
        <w:rPr>
          <w:rFonts w:hint="eastAsia" w:ascii="宋体" w:hAnsi="宋体" w:cs="宋体"/>
          <w:b/>
          <w:bCs/>
          <w:sz w:val="32"/>
          <w:szCs w:val="32"/>
        </w:rPr>
        <w:t>申请单位报名登记表</w:t>
      </w:r>
    </w:p>
    <w:p>
      <w:pPr>
        <w:pStyle w:val="11"/>
        <w:spacing w:line="360" w:lineRule="auto"/>
        <w:rPr>
          <w:rFonts w:hint="default"/>
          <w:color w:val="auto"/>
        </w:rPr>
      </w:pPr>
    </w:p>
    <w:tbl>
      <w:tblPr>
        <w:tblStyle w:val="7"/>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483"/>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4" w:type="dxa"/>
            <w:vAlign w:val="center"/>
          </w:tcPr>
          <w:p>
            <w:pPr>
              <w:widowControl/>
              <w:spacing w:line="360" w:lineRule="auto"/>
              <w:jc w:val="center"/>
              <w:rPr>
                <w:rFonts w:ascii="宋体" w:hAnsi="宋体" w:cs="宋体"/>
                <w:szCs w:val="22"/>
              </w:rPr>
            </w:pPr>
            <w:r>
              <w:rPr>
                <w:rFonts w:hint="eastAsia" w:ascii="宋体" w:hAnsi="宋体" w:cs="宋体"/>
                <w:szCs w:val="22"/>
              </w:rPr>
              <w:t>申请单位名称</w:t>
            </w:r>
          </w:p>
        </w:tc>
        <w:tc>
          <w:tcPr>
            <w:tcW w:w="1483" w:type="dxa"/>
            <w:vAlign w:val="center"/>
          </w:tcPr>
          <w:p>
            <w:pPr>
              <w:widowControl/>
              <w:spacing w:line="360" w:lineRule="auto"/>
              <w:jc w:val="center"/>
              <w:rPr>
                <w:rFonts w:hint="default" w:ascii="宋体" w:hAnsi="宋体" w:eastAsia="宋体" w:cs="宋体"/>
                <w:szCs w:val="22"/>
                <w:lang w:val="en-US" w:eastAsia="zh-CN"/>
              </w:rPr>
            </w:pPr>
            <w:r>
              <w:rPr>
                <w:rFonts w:hint="eastAsia" w:ascii="宋体" w:hAnsi="宋体" w:cs="宋体"/>
                <w:szCs w:val="22"/>
                <w:lang w:val="en-US" w:eastAsia="zh-CN"/>
              </w:rPr>
              <w:t>申请合同包</w:t>
            </w:r>
          </w:p>
        </w:tc>
        <w:tc>
          <w:tcPr>
            <w:tcW w:w="1483" w:type="dxa"/>
            <w:vAlign w:val="center"/>
          </w:tcPr>
          <w:p>
            <w:pPr>
              <w:widowControl/>
              <w:spacing w:line="360" w:lineRule="auto"/>
              <w:jc w:val="center"/>
              <w:rPr>
                <w:rFonts w:ascii="宋体" w:hAnsi="宋体" w:cs="宋体"/>
                <w:szCs w:val="22"/>
              </w:rPr>
            </w:pPr>
            <w:r>
              <w:rPr>
                <w:rFonts w:hint="eastAsia" w:ascii="宋体" w:hAnsi="宋体" w:cs="宋体"/>
                <w:szCs w:val="22"/>
              </w:rPr>
              <w:t>联系人</w:t>
            </w:r>
          </w:p>
        </w:tc>
        <w:tc>
          <w:tcPr>
            <w:tcW w:w="1309" w:type="dxa"/>
            <w:vAlign w:val="center"/>
          </w:tcPr>
          <w:p>
            <w:pPr>
              <w:widowControl/>
              <w:spacing w:line="360" w:lineRule="auto"/>
              <w:jc w:val="center"/>
              <w:rPr>
                <w:rFonts w:ascii="宋体" w:hAnsi="宋体" w:cs="宋体"/>
                <w:szCs w:val="22"/>
              </w:rPr>
            </w:pPr>
            <w:r>
              <w:rPr>
                <w:rFonts w:hint="eastAsia" w:ascii="宋体" w:hAnsi="宋体" w:cs="宋体"/>
                <w:szCs w:val="22"/>
              </w:rPr>
              <w:t>联系方式</w:t>
            </w:r>
          </w:p>
        </w:tc>
        <w:tc>
          <w:tcPr>
            <w:tcW w:w="2073" w:type="dxa"/>
            <w:vAlign w:val="center"/>
          </w:tcPr>
          <w:p>
            <w:pPr>
              <w:widowControl/>
              <w:spacing w:line="360" w:lineRule="auto"/>
              <w:jc w:val="center"/>
              <w:rPr>
                <w:rFonts w:ascii="宋体" w:hAnsi="宋体" w:cs="宋体"/>
                <w:szCs w:val="22"/>
              </w:rPr>
            </w:pPr>
            <w:r>
              <w:rPr>
                <w:rFonts w:hint="eastAsia" w:ascii="宋体" w:hAnsi="宋体" w:cs="宋体"/>
                <w:szCs w:val="22"/>
              </w:rPr>
              <w:t>遴选文件</w:t>
            </w:r>
          </w:p>
          <w:p>
            <w:pPr>
              <w:widowControl/>
              <w:spacing w:line="360" w:lineRule="auto"/>
              <w:jc w:val="center"/>
              <w:rPr>
                <w:rFonts w:ascii="宋体" w:hAnsi="宋体" w:cs="宋体"/>
                <w:szCs w:val="22"/>
              </w:rPr>
            </w:pPr>
            <w:r>
              <w:rPr>
                <w:rFonts w:hint="eastAsia" w:ascii="宋体" w:hAnsi="宋体" w:cs="宋体"/>
                <w:szCs w:val="22"/>
              </w:rPr>
              <w:t>接收邮箱</w:t>
            </w:r>
          </w:p>
        </w:tc>
        <w:tc>
          <w:tcPr>
            <w:tcW w:w="1152" w:type="dxa"/>
            <w:vAlign w:val="center"/>
          </w:tcPr>
          <w:p>
            <w:pPr>
              <w:widowControl/>
              <w:spacing w:line="360" w:lineRule="auto"/>
              <w:jc w:val="center"/>
              <w:rPr>
                <w:rFonts w:ascii="宋体" w:hAnsi="宋体" w:cs="宋体"/>
                <w:szCs w:val="22"/>
              </w:rPr>
            </w:pPr>
            <w:r>
              <w:rPr>
                <w:rFonts w:hint="eastAsia" w:ascii="宋体" w:hAnsi="宋体" w:cs="宋体"/>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214" w:type="dxa"/>
          </w:tcPr>
          <w:p>
            <w:pPr>
              <w:widowControl/>
              <w:spacing w:line="360" w:lineRule="auto"/>
              <w:rPr>
                <w:rFonts w:ascii="宋体" w:hAnsi="宋体" w:cs="宋体"/>
                <w:szCs w:val="22"/>
              </w:rPr>
            </w:pPr>
          </w:p>
        </w:tc>
        <w:tc>
          <w:tcPr>
            <w:tcW w:w="1483" w:type="dxa"/>
          </w:tcPr>
          <w:p>
            <w:pPr>
              <w:pStyle w:val="11"/>
              <w:spacing w:line="360" w:lineRule="auto"/>
              <w:jc w:val="both"/>
              <w:rPr>
                <w:rFonts w:hint="default" w:ascii="宋体" w:hAnsi="宋体" w:eastAsia="宋体" w:cs="宋体"/>
                <w:color w:val="auto"/>
                <w:szCs w:val="22"/>
              </w:rPr>
            </w:pPr>
          </w:p>
        </w:tc>
        <w:tc>
          <w:tcPr>
            <w:tcW w:w="1483" w:type="dxa"/>
          </w:tcPr>
          <w:p>
            <w:pPr>
              <w:widowControl/>
              <w:spacing w:line="360" w:lineRule="auto"/>
            </w:pPr>
          </w:p>
          <w:p>
            <w:pPr>
              <w:pStyle w:val="11"/>
              <w:spacing w:line="360" w:lineRule="auto"/>
              <w:jc w:val="both"/>
              <w:rPr>
                <w:rFonts w:hint="default" w:ascii="宋体" w:hAnsi="宋体" w:eastAsia="宋体" w:cs="宋体"/>
                <w:color w:val="auto"/>
                <w:szCs w:val="22"/>
              </w:rPr>
            </w:pPr>
          </w:p>
          <w:p>
            <w:pPr>
              <w:pStyle w:val="11"/>
              <w:spacing w:line="360" w:lineRule="auto"/>
              <w:jc w:val="both"/>
              <w:rPr>
                <w:rFonts w:hint="default" w:ascii="宋体" w:hAnsi="宋体" w:eastAsia="宋体" w:cs="宋体"/>
                <w:color w:val="auto"/>
                <w:szCs w:val="22"/>
              </w:rPr>
            </w:pPr>
          </w:p>
        </w:tc>
        <w:tc>
          <w:tcPr>
            <w:tcW w:w="1309" w:type="dxa"/>
          </w:tcPr>
          <w:p>
            <w:pPr>
              <w:widowControl/>
              <w:spacing w:line="360" w:lineRule="auto"/>
              <w:rPr>
                <w:rFonts w:ascii="宋体" w:hAnsi="宋体" w:cs="宋体"/>
                <w:szCs w:val="22"/>
              </w:rPr>
            </w:pPr>
          </w:p>
        </w:tc>
        <w:tc>
          <w:tcPr>
            <w:tcW w:w="2073" w:type="dxa"/>
          </w:tcPr>
          <w:p>
            <w:pPr>
              <w:widowControl/>
              <w:spacing w:line="360" w:lineRule="auto"/>
              <w:rPr>
                <w:rFonts w:ascii="宋体" w:hAnsi="宋体" w:cs="宋体"/>
                <w:szCs w:val="22"/>
              </w:rPr>
            </w:pPr>
          </w:p>
        </w:tc>
        <w:tc>
          <w:tcPr>
            <w:tcW w:w="1152" w:type="dxa"/>
          </w:tcPr>
          <w:p>
            <w:pPr>
              <w:widowControl/>
              <w:spacing w:line="360" w:lineRule="auto"/>
              <w:rPr>
                <w:rFonts w:ascii="宋体" w:hAnsi="宋体" w:cs="宋体"/>
                <w:szCs w:val="22"/>
              </w:rPr>
            </w:pPr>
          </w:p>
        </w:tc>
      </w:tr>
    </w:tbl>
    <w:p>
      <w:pPr>
        <w:widowControl/>
        <w:spacing w:line="360" w:lineRule="auto"/>
        <w:rPr>
          <w:rFonts w:eastAsia="黑体"/>
          <w:szCs w:val="22"/>
        </w:rPr>
      </w:pPr>
    </w:p>
    <w:p>
      <w:pPr>
        <w:widowControl/>
        <w:spacing w:line="360" w:lineRule="auto"/>
      </w:pPr>
    </w:p>
    <w:p>
      <w:pPr>
        <w:pStyle w:val="11"/>
        <w:spacing w:line="360" w:lineRule="auto"/>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spacing w:line="360" w:lineRule="auto"/>
        <w:jc w:val="right"/>
        <w:rPr>
          <w:rFonts w:ascii="宋体" w:hAnsi="宋体"/>
          <w:bCs/>
          <w:sz w:val="28"/>
          <w:szCs w:val="28"/>
          <w:u w:val="single"/>
        </w:rPr>
      </w:pPr>
      <w:r>
        <w:rPr>
          <w:rFonts w:ascii="宋体" w:hAnsi="宋体"/>
          <w:bCs/>
          <w:sz w:val="28"/>
          <w:szCs w:val="28"/>
        </w:rPr>
        <w:t>联   系   人：</w:t>
      </w:r>
      <w:r>
        <w:rPr>
          <w:rFonts w:ascii="宋体" w:hAnsi="宋体"/>
          <w:bCs/>
          <w:sz w:val="28"/>
          <w:szCs w:val="28"/>
          <w:u w:val="single"/>
        </w:rPr>
        <w:t xml:space="preserve">             签字  </w:t>
      </w:r>
    </w:p>
    <w:p>
      <w:pPr>
        <w:spacing w:after="0" w:line="360" w:lineRule="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1DD224A0"/>
    <w:rsid w:val="1DD224A0"/>
    <w:rsid w:val="6F1B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420" w:lineRule="atLeast"/>
      <w:jc w:val="center"/>
      <w:outlineLvl w:val="0"/>
    </w:pPr>
    <w:rPr>
      <w:rFonts w:ascii="Arial" w:hAnsi="Arial" w:eastAsia="宋体" w:cs="Times New Roman"/>
      <w:b/>
      <w:sz w:val="32"/>
    </w:r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spacing w:line="240" w:lineRule="atLeast"/>
    </w:pPr>
    <w:rPr>
      <w:sz w:val="18"/>
    </w:rPr>
  </w:style>
  <w:style w:type="paragraph" w:styleId="5">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6">
    <w:name w:val="Body Text First Indent 2"/>
    <w:basedOn w:val="3"/>
    <w:next w:val="1"/>
    <w:qFormat/>
    <w:uiPriority w:val="0"/>
    <w:pPr>
      <w:ind w:firstLine="420" w:firstLineChars="200"/>
    </w:pPr>
    <w:rPr>
      <w:szCs w:val="24"/>
    </w:r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font01"/>
    <w:basedOn w:val="8"/>
    <w:qFormat/>
    <w:uiPriority w:val="0"/>
    <w:rPr>
      <w:rFonts w:hint="eastAsia" w:ascii="宋体" w:hAnsi="宋体" w:eastAsia="宋体" w:cs="宋体"/>
      <w:color w:val="000000"/>
      <w:sz w:val="18"/>
      <w:szCs w:val="18"/>
      <w:u w:val="none"/>
    </w:rPr>
  </w:style>
  <w:style w:type="paragraph" w:customStyle="1" w:styleId="1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5695</Words>
  <Characters>6434</Characters>
  <Lines>0</Lines>
  <Paragraphs>0</Paragraphs>
  <TotalTime>4</TotalTime>
  <ScaleCrop>false</ScaleCrop>
  <LinksUpToDate>false</LinksUpToDate>
  <CharactersWithSpaces>6525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2022-09-24T03:45:00Z</dcterms:created>
  <dc:creator>David</dc:creator>
  <cp:lastModifiedBy>Administrator</cp:lastModifiedBy>
  <dcterms:modified xsi:type="dcterms:W3CDTF">2022-09-26T08:33:55Z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CCF471158545498DBB617F0C1DA40F96</vt:lpwstr>
  </property>
</Properties>
</file>